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627D3" w14:textId="77777777" w:rsidR="00E707F0" w:rsidRPr="004F05CA" w:rsidRDefault="00E707F0" w:rsidP="00E707F0">
      <w:pPr>
        <w:spacing w:after="0" w:line="240" w:lineRule="auto"/>
        <w:ind w:right="31"/>
        <w:contextualSpacing/>
        <w:rPr>
          <w:rFonts w:ascii="Georgia" w:hAnsi="Georgia"/>
          <w:b/>
          <w:color w:val="2C336A"/>
          <w:shd w:val="clear" w:color="auto" w:fill="FFFFFF"/>
        </w:rPr>
      </w:pPr>
      <w:bookmarkStart w:id="0" w:name="_Hlk165718941"/>
      <w:bookmarkEnd w:id="0"/>
      <w:r w:rsidRPr="00EE1AB4">
        <w:rPr>
          <w:noProof/>
          <w:color w:val="2C336A"/>
        </w:rPr>
        <w:drawing>
          <wp:anchor distT="0" distB="0" distL="114300" distR="114300" simplePos="0" relativeHeight="251659264" behindDoc="0" locked="0" layoutInCell="1" allowOverlap="1" wp14:anchorId="4C21A297" wp14:editId="416757B1">
            <wp:simplePos x="0" y="0"/>
            <wp:positionH relativeFrom="column">
              <wp:posOffset>4274820</wp:posOffset>
            </wp:positionH>
            <wp:positionV relativeFrom="paragraph">
              <wp:posOffset>5715</wp:posOffset>
            </wp:positionV>
            <wp:extent cx="1847215" cy="563880"/>
            <wp:effectExtent l="0" t="0" r="635" b="7620"/>
            <wp:wrapNone/>
            <wp:docPr id="2"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2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AB4">
        <w:rPr>
          <w:rFonts w:ascii="Georgia" w:hAnsi="Georgia"/>
          <w:b/>
          <w:color w:val="2C336A"/>
          <w:shd w:val="clear" w:color="auto" w:fill="FFFFFF"/>
        </w:rPr>
        <w:t>Educ</w:t>
      </w:r>
      <w:r w:rsidRPr="00C9470F">
        <w:rPr>
          <w:rFonts w:ascii="Georgia" w:hAnsi="Georgia"/>
          <w:b/>
          <w:color w:val="2C336A"/>
          <w:shd w:val="clear" w:color="auto" w:fill="FFFFFF"/>
        </w:rPr>
        <w:t>atio</w:t>
      </w:r>
      <w:r w:rsidRPr="00EE1AB4">
        <w:rPr>
          <w:rFonts w:ascii="Georgia" w:hAnsi="Georgia"/>
          <w:b/>
          <w:color w:val="2C336A"/>
          <w:shd w:val="clear" w:color="auto" w:fill="FFFFFF"/>
        </w:rPr>
        <w:t>nal Adminis</w:t>
      </w:r>
      <w:r w:rsidRPr="00402149">
        <w:rPr>
          <w:rFonts w:ascii="Georgia" w:hAnsi="Georgia"/>
          <w:b/>
          <w:color w:val="2C336A"/>
          <w:shd w:val="clear" w:color="auto" w:fill="FFFFFF"/>
        </w:rPr>
        <w:t>tratio</w:t>
      </w:r>
      <w:r w:rsidRPr="00EE1AB4">
        <w:rPr>
          <w:rFonts w:ascii="Georgia" w:hAnsi="Georgia"/>
          <w:b/>
          <w:color w:val="2C336A"/>
          <w:shd w:val="clear" w:color="auto" w:fill="FFFFFF"/>
        </w:rPr>
        <w:t>n</w:t>
      </w:r>
      <w:r w:rsidRPr="004F05CA">
        <w:rPr>
          <w:rFonts w:ascii="Georgia" w:hAnsi="Georgia"/>
          <w:b/>
          <w:color w:val="2C336A"/>
          <w:shd w:val="clear" w:color="auto" w:fill="FFFFFF"/>
        </w:rPr>
        <w:t>: Theory and Practice</w:t>
      </w:r>
    </w:p>
    <w:p w14:paraId="4DE2763C" w14:textId="020C211C" w:rsidR="00E707F0" w:rsidRPr="0099451C" w:rsidRDefault="00E707F0" w:rsidP="00E707F0">
      <w:pPr>
        <w:spacing w:after="0" w:line="240" w:lineRule="auto"/>
        <w:ind w:right="31"/>
        <w:contextualSpacing/>
        <w:rPr>
          <w:rFonts w:ascii="Georgia" w:hAnsi="Georgia"/>
          <w:bCs/>
          <w:sz w:val="18"/>
          <w:szCs w:val="18"/>
          <w:shd w:val="clear" w:color="auto" w:fill="FFFFFF"/>
        </w:rPr>
      </w:pPr>
      <w:r w:rsidRPr="0099451C">
        <w:rPr>
          <w:rFonts w:ascii="Georgia" w:hAnsi="Georgia"/>
          <w:bCs/>
          <w:sz w:val="18"/>
          <w:szCs w:val="18"/>
          <w:shd w:val="clear" w:color="auto" w:fill="FFFFFF"/>
        </w:rPr>
        <w:t>2024, 30(</w:t>
      </w:r>
      <w:r>
        <w:rPr>
          <w:rFonts w:ascii="Georgia" w:hAnsi="Georgia"/>
          <w:bCs/>
          <w:sz w:val="18"/>
          <w:szCs w:val="18"/>
          <w:shd w:val="clear" w:color="auto" w:fill="FFFFFF"/>
        </w:rPr>
        <w:t>5</w:t>
      </w:r>
      <w:r w:rsidRPr="0099451C">
        <w:rPr>
          <w:rFonts w:ascii="Georgia" w:hAnsi="Georgia"/>
          <w:bCs/>
          <w:sz w:val="18"/>
          <w:szCs w:val="18"/>
          <w:shd w:val="clear" w:color="auto" w:fill="FFFFFF"/>
        </w:rPr>
        <w:t xml:space="preserve">), </w:t>
      </w:r>
      <w:r w:rsidRPr="00A734C6">
        <w:rPr>
          <w:rStyle w:val="fontstyle21"/>
          <w:rFonts w:ascii="Georgia" w:hAnsi="Georgia"/>
          <w:sz w:val="18"/>
          <w:szCs w:val="18"/>
        </w:rPr>
        <w:t>3</w:t>
      </w:r>
      <w:r>
        <w:rPr>
          <w:rStyle w:val="fontstyle21"/>
          <w:rFonts w:ascii="Georgia" w:hAnsi="Georgia"/>
          <w:sz w:val="18"/>
          <w:szCs w:val="18"/>
        </w:rPr>
        <w:t>93</w:t>
      </w:r>
      <w:r w:rsidR="00C82C2C">
        <w:rPr>
          <w:rStyle w:val="fontstyle21"/>
          <w:rFonts w:ascii="Georgia" w:hAnsi="Georgia"/>
          <w:sz w:val="18"/>
          <w:szCs w:val="18"/>
        </w:rPr>
        <w:t>6</w:t>
      </w:r>
      <w:r>
        <w:rPr>
          <w:rStyle w:val="fontstyle21"/>
          <w:rFonts w:ascii="Georgia" w:hAnsi="Georgia"/>
          <w:sz w:val="18"/>
          <w:szCs w:val="18"/>
        </w:rPr>
        <w:t>-39</w:t>
      </w:r>
      <w:r w:rsidR="00C82C2C">
        <w:rPr>
          <w:rStyle w:val="fontstyle21"/>
          <w:rFonts w:ascii="Georgia" w:hAnsi="Georgia"/>
          <w:sz w:val="18"/>
          <w:szCs w:val="18"/>
        </w:rPr>
        <w:t>42</w:t>
      </w:r>
    </w:p>
    <w:p w14:paraId="03DEB890" w14:textId="77777777" w:rsidR="00E707F0" w:rsidRPr="0099451C" w:rsidRDefault="00E707F0" w:rsidP="00E707F0">
      <w:pPr>
        <w:spacing w:after="0" w:line="240" w:lineRule="auto"/>
        <w:ind w:right="31"/>
        <w:contextualSpacing/>
        <w:rPr>
          <w:rFonts w:ascii="Georgia" w:hAnsi="Georgia"/>
          <w:bCs/>
          <w:sz w:val="18"/>
          <w:szCs w:val="18"/>
          <w:shd w:val="clear" w:color="auto" w:fill="FFFFFF"/>
        </w:rPr>
      </w:pPr>
      <w:r w:rsidRPr="0099451C">
        <w:rPr>
          <w:rFonts w:ascii="Georgia" w:hAnsi="Georgia"/>
          <w:bCs/>
          <w:sz w:val="18"/>
          <w:szCs w:val="18"/>
          <w:shd w:val="clear" w:color="auto" w:fill="FFFFFF"/>
        </w:rPr>
        <w:t>ISSN:2148-2403</w:t>
      </w:r>
    </w:p>
    <w:p w14:paraId="125B1AD9" w14:textId="77777777" w:rsidR="00E707F0" w:rsidRPr="001B3192" w:rsidRDefault="00E707F0" w:rsidP="00E707F0">
      <w:pPr>
        <w:pBdr>
          <w:bottom w:val="single" w:sz="8" w:space="1" w:color="auto"/>
        </w:pBdr>
        <w:tabs>
          <w:tab w:val="left" w:pos="993"/>
        </w:tabs>
        <w:spacing w:after="0" w:line="240" w:lineRule="auto"/>
        <w:ind w:right="31"/>
        <w:rPr>
          <w:b/>
          <w:color w:val="0070C0"/>
        </w:rPr>
      </w:pPr>
      <w:hyperlink r:id="rId8" w:history="1">
        <w:r w:rsidRPr="00034AA4">
          <w:rPr>
            <w:rStyle w:val="Hyperlink"/>
            <w:rFonts w:ascii="Georgia" w:hAnsi="Georgia"/>
            <w:color w:val="0070C0"/>
            <w:sz w:val="16"/>
            <w:szCs w:val="16"/>
            <w:shd w:val="clear" w:color="auto" w:fill="FFFFFF"/>
          </w:rPr>
          <w:t>https://kuey.net/</w:t>
        </w:r>
      </w:hyperlink>
      <w:r w:rsidRPr="001B3192">
        <w:rPr>
          <w:rFonts w:ascii="Georgia" w:hAnsi="Georgia"/>
          <w:b/>
          <w:sz w:val="16"/>
          <w:szCs w:val="16"/>
          <w:shd w:val="clear" w:color="auto" w:fill="FFFFFF"/>
        </w:rPr>
        <w:t xml:space="preserve"> </w:t>
      </w:r>
      <w:r w:rsidRPr="001B3192">
        <w:rPr>
          <w:rFonts w:ascii="Georgia" w:hAnsi="Georgia"/>
          <w:b/>
          <w:sz w:val="16"/>
          <w:szCs w:val="16"/>
          <w:shd w:val="clear" w:color="auto" w:fill="FFFFFF"/>
        </w:rPr>
        <w:tab/>
      </w:r>
      <w:r w:rsidRPr="001B3192">
        <w:rPr>
          <w:rFonts w:ascii="Georgia" w:hAnsi="Georgia"/>
          <w:b/>
          <w:sz w:val="16"/>
          <w:szCs w:val="16"/>
          <w:shd w:val="clear" w:color="auto" w:fill="FFFFFF"/>
        </w:rPr>
        <w:tab/>
      </w:r>
      <w:r w:rsidRPr="001B3192">
        <w:rPr>
          <w:rFonts w:ascii="Georgia" w:hAnsi="Georgia"/>
          <w:b/>
          <w:sz w:val="16"/>
          <w:szCs w:val="16"/>
          <w:shd w:val="clear" w:color="auto" w:fill="FFFFFF"/>
        </w:rPr>
        <w:tab/>
      </w:r>
      <w:r w:rsidRPr="001B3192">
        <w:rPr>
          <w:rFonts w:ascii="Georgia" w:hAnsi="Georgia"/>
          <w:b/>
          <w:color w:val="0070C0"/>
        </w:rPr>
        <w:t>Research Article</w:t>
      </w:r>
    </w:p>
    <w:p w14:paraId="447D5016" w14:textId="77777777" w:rsidR="00E707F0" w:rsidRPr="00E707F0" w:rsidRDefault="00E707F0" w:rsidP="00E707F0">
      <w:pPr>
        <w:pStyle w:val="Heading2"/>
        <w:spacing w:after="0" w:line="240" w:lineRule="auto"/>
        <w:jc w:val="center"/>
        <w:rPr>
          <w:rFonts w:ascii="Georgia" w:hAnsi="Georgia"/>
          <w:color w:val="2C336A"/>
          <w:sz w:val="20"/>
          <w:szCs w:val="20"/>
        </w:rPr>
      </w:pPr>
    </w:p>
    <w:p w14:paraId="6A96D93A" w14:textId="624D247A" w:rsidR="008E37A3" w:rsidRPr="00E707F0" w:rsidRDefault="008E37A3" w:rsidP="00E707F0">
      <w:pPr>
        <w:pStyle w:val="Heading2"/>
        <w:spacing w:after="0" w:line="240" w:lineRule="auto"/>
        <w:jc w:val="center"/>
        <w:rPr>
          <w:rFonts w:ascii="Georgia" w:hAnsi="Georgia"/>
          <w:color w:val="2C336A"/>
          <w:sz w:val="32"/>
          <w:szCs w:val="32"/>
        </w:rPr>
      </w:pPr>
      <w:r w:rsidRPr="00E707F0">
        <w:rPr>
          <w:rFonts w:ascii="Georgia" w:hAnsi="Georgia"/>
          <w:color w:val="2C336A"/>
          <w:sz w:val="32"/>
          <w:szCs w:val="32"/>
        </w:rPr>
        <w:t xml:space="preserve">Research Themes </w:t>
      </w:r>
      <w:proofErr w:type="gramStart"/>
      <w:r w:rsidR="00E707F0" w:rsidRPr="00E707F0">
        <w:rPr>
          <w:rFonts w:ascii="Georgia" w:hAnsi="Georgia"/>
          <w:color w:val="2C336A"/>
          <w:sz w:val="32"/>
          <w:szCs w:val="32"/>
        </w:rPr>
        <w:t>And</w:t>
      </w:r>
      <w:proofErr w:type="gramEnd"/>
      <w:r w:rsidR="00E707F0" w:rsidRPr="00E707F0">
        <w:rPr>
          <w:rFonts w:ascii="Georgia" w:hAnsi="Georgia"/>
          <w:color w:val="2C336A"/>
          <w:sz w:val="32"/>
          <w:szCs w:val="32"/>
        </w:rPr>
        <w:t xml:space="preserve"> </w:t>
      </w:r>
      <w:r w:rsidRPr="00E707F0">
        <w:rPr>
          <w:rFonts w:ascii="Georgia" w:hAnsi="Georgia"/>
          <w:color w:val="2C336A"/>
          <w:sz w:val="32"/>
          <w:szCs w:val="32"/>
        </w:rPr>
        <w:t xml:space="preserve">Theoretical Connections </w:t>
      </w:r>
      <w:r w:rsidR="00E707F0" w:rsidRPr="00E707F0">
        <w:rPr>
          <w:rFonts w:ascii="Georgia" w:hAnsi="Georgia"/>
          <w:color w:val="2C336A"/>
          <w:sz w:val="32"/>
          <w:szCs w:val="32"/>
        </w:rPr>
        <w:t xml:space="preserve">Between </w:t>
      </w:r>
      <w:r w:rsidRPr="00E707F0">
        <w:rPr>
          <w:rFonts w:ascii="Georgia" w:hAnsi="Georgia"/>
          <w:color w:val="2C336A"/>
          <w:sz w:val="32"/>
          <w:szCs w:val="32"/>
        </w:rPr>
        <w:t xml:space="preserve">Corporate Governance </w:t>
      </w:r>
      <w:r w:rsidR="00E707F0" w:rsidRPr="00E707F0">
        <w:rPr>
          <w:rFonts w:ascii="Georgia" w:hAnsi="Georgia"/>
          <w:color w:val="2C336A"/>
          <w:sz w:val="32"/>
          <w:szCs w:val="32"/>
        </w:rPr>
        <w:t xml:space="preserve">And </w:t>
      </w:r>
      <w:r w:rsidRPr="00E707F0">
        <w:rPr>
          <w:rFonts w:ascii="Georgia" w:hAnsi="Georgia"/>
          <w:color w:val="2C336A"/>
          <w:sz w:val="32"/>
          <w:szCs w:val="32"/>
        </w:rPr>
        <w:t>ESG</w:t>
      </w:r>
    </w:p>
    <w:p w14:paraId="30900F51" w14:textId="77777777" w:rsidR="00E707F0" w:rsidRDefault="00E707F0" w:rsidP="00E707F0">
      <w:pPr>
        <w:spacing w:after="0" w:line="240" w:lineRule="auto"/>
        <w:ind w:right="476"/>
        <w:jc w:val="center"/>
        <w:rPr>
          <w:rFonts w:ascii="Georgia" w:hAnsi="Georgia"/>
          <w:color w:val="000000" w:themeColor="text1"/>
          <w:sz w:val="20"/>
          <w:szCs w:val="20"/>
        </w:rPr>
      </w:pPr>
    </w:p>
    <w:p w14:paraId="38187B09" w14:textId="6DABE8FC" w:rsidR="008E37A3" w:rsidRDefault="008E37A3" w:rsidP="00E707F0">
      <w:pPr>
        <w:spacing w:after="0" w:line="240" w:lineRule="auto"/>
        <w:ind w:right="476"/>
        <w:jc w:val="center"/>
        <w:rPr>
          <w:rFonts w:ascii="Georgia" w:hAnsi="Georgia"/>
          <w:color w:val="000000" w:themeColor="text1"/>
          <w:sz w:val="20"/>
          <w:szCs w:val="20"/>
        </w:rPr>
      </w:pPr>
      <w:r w:rsidRPr="00E707F0">
        <w:rPr>
          <w:rFonts w:ascii="Georgia" w:hAnsi="Georgia"/>
          <w:color w:val="000000" w:themeColor="text1"/>
          <w:sz w:val="20"/>
          <w:szCs w:val="20"/>
        </w:rPr>
        <w:t>Swathi.G</w:t>
      </w:r>
      <w:r w:rsidR="00E707F0">
        <w:rPr>
          <w:rFonts w:ascii="Georgia" w:hAnsi="Georgia"/>
          <w:color w:val="000000" w:themeColor="text1"/>
          <w:sz w:val="20"/>
          <w:szCs w:val="20"/>
          <w:vertAlign w:val="superscript"/>
        </w:rPr>
        <w:t>1*</w:t>
      </w:r>
      <w:r w:rsidRPr="00E707F0">
        <w:rPr>
          <w:rFonts w:ascii="Georgia" w:hAnsi="Georgia"/>
          <w:color w:val="000000" w:themeColor="text1"/>
          <w:sz w:val="20"/>
          <w:szCs w:val="20"/>
        </w:rPr>
        <w:t>,</w:t>
      </w:r>
      <w:r w:rsidR="00E707F0">
        <w:rPr>
          <w:rFonts w:ascii="Georgia" w:hAnsi="Georgia"/>
          <w:color w:val="000000" w:themeColor="text1"/>
          <w:sz w:val="20"/>
          <w:szCs w:val="20"/>
        </w:rPr>
        <w:t xml:space="preserve"> </w:t>
      </w:r>
      <w:r w:rsidRPr="00E707F0">
        <w:rPr>
          <w:rFonts w:ascii="Georgia" w:hAnsi="Georgia"/>
          <w:color w:val="000000" w:themeColor="text1"/>
          <w:sz w:val="20"/>
          <w:szCs w:val="20"/>
        </w:rPr>
        <w:t>Dr.</w:t>
      </w:r>
      <w:r w:rsidR="00E707F0">
        <w:rPr>
          <w:rFonts w:ascii="Georgia" w:hAnsi="Georgia"/>
          <w:color w:val="000000" w:themeColor="text1"/>
          <w:sz w:val="20"/>
          <w:szCs w:val="20"/>
        </w:rPr>
        <w:t xml:space="preserve"> </w:t>
      </w:r>
      <w:r w:rsidRPr="00E707F0">
        <w:rPr>
          <w:rFonts w:ascii="Georgia" w:hAnsi="Georgia"/>
          <w:color w:val="000000" w:themeColor="text1"/>
          <w:sz w:val="20"/>
          <w:szCs w:val="20"/>
        </w:rPr>
        <w:t>Anurag Pahuja</w:t>
      </w:r>
      <w:r w:rsidR="00E707F0" w:rsidRPr="00E707F0">
        <w:rPr>
          <w:rFonts w:ascii="Georgia" w:hAnsi="Georgia"/>
          <w:color w:val="000000" w:themeColor="text1"/>
          <w:sz w:val="20"/>
          <w:szCs w:val="20"/>
          <w:vertAlign w:val="superscript"/>
        </w:rPr>
        <w:t>2</w:t>
      </w:r>
    </w:p>
    <w:p w14:paraId="3DC5E792" w14:textId="77777777" w:rsidR="00E707F0" w:rsidRPr="00E707F0" w:rsidRDefault="00E707F0" w:rsidP="00E707F0">
      <w:pPr>
        <w:spacing w:after="0" w:line="240" w:lineRule="auto"/>
        <w:ind w:right="476"/>
        <w:rPr>
          <w:rFonts w:ascii="Georgia" w:hAnsi="Georgia"/>
          <w:color w:val="000000" w:themeColor="text1"/>
          <w:sz w:val="16"/>
          <w:szCs w:val="16"/>
        </w:rPr>
      </w:pPr>
    </w:p>
    <w:p w14:paraId="1E34E781" w14:textId="2CA45DEE" w:rsidR="008E37A3" w:rsidRPr="00E707F0" w:rsidRDefault="00E707F0" w:rsidP="00E707F0">
      <w:pPr>
        <w:pStyle w:val="BodyText"/>
        <w:ind w:right="118"/>
        <w:jc w:val="both"/>
        <w:rPr>
          <w:rFonts w:ascii="Georgia" w:hAnsi="Georgia"/>
          <w:color w:val="000000" w:themeColor="text1"/>
          <w:sz w:val="16"/>
          <w:szCs w:val="16"/>
        </w:rPr>
      </w:pPr>
      <w:r w:rsidRPr="00E707F0">
        <w:rPr>
          <w:rFonts w:ascii="Georgia" w:hAnsi="Georgia"/>
          <w:color w:val="000000" w:themeColor="text1"/>
          <w:sz w:val="16"/>
          <w:szCs w:val="16"/>
          <w:vertAlign w:val="superscript"/>
        </w:rPr>
        <w:t>1*</w:t>
      </w:r>
      <w:r w:rsidR="008E37A3" w:rsidRPr="00E707F0">
        <w:rPr>
          <w:rFonts w:ascii="Georgia" w:hAnsi="Georgia"/>
          <w:color w:val="000000" w:themeColor="text1"/>
          <w:sz w:val="16"/>
          <w:szCs w:val="16"/>
        </w:rPr>
        <w:t xml:space="preserve">Research Scholar, Mittal School of Business, Lovely Professional University, Delhi GT Road, Phagwara – 144411, Punjab. Email ID: </w:t>
      </w:r>
      <w:hyperlink r:id="rId9" w:history="1">
        <w:r w:rsidR="008E37A3" w:rsidRPr="00E707F0">
          <w:rPr>
            <w:rStyle w:val="Hyperlink"/>
            <w:rFonts w:ascii="Georgia" w:hAnsi="Georgia"/>
            <w:color w:val="000000" w:themeColor="text1"/>
            <w:sz w:val="16"/>
            <w:szCs w:val="16"/>
            <w:u w:val="none"/>
          </w:rPr>
          <w:t>swathig65@gmail.com</w:t>
        </w:r>
      </w:hyperlink>
    </w:p>
    <w:p w14:paraId="6EA21488" w14:textId="7301BB52" w:rsidR="008E37A3" w:rsidRPr="00E707F0" w:rsidRDefault="00E707F0" w:rsidP="00E707F0">
      <w:pPr>
        <w:pStyle w:val="BodyText"/>
        <w:ind w:right="118"/>
        <w:jc w:val="both"/>
        <w:rPr>
          <w:rFonts w:ascii="Georgia" w:hAnsi="Georgia"/>
          <w:color w:val="000000" w:themeColor="text1"/>
          <w:sz w:val="16"/>
          <w:szCs w:val="16"/>
        </w:rPr>
      </w:pPr>
      <w:r w:rsidRPr="00E707F0">
        <w:rPr>
          <w:rFonts w:ascii="Georgia" w:hAnsi="Georgia"/>
          <w:color w:val="000000" w:themeColor="text1"/>
          <w:sz w:val="16"/>
          <w:szCs w:val="16"/>
          <w:vertAlign w:val="superscript"/>
        </w:rPr>
        <w:t>2</w:t>
      </w:r>
      <w:r w:rsidR="008E37A3" w:rsidRPr="00E707F0">
        <w:rPr>
          <w:rFonts w:ascii="Georgia" w:hAnsi="Georgia"/>
          <w:color w:val="000000" w:themeColor="text1"/>
          <w:sz w:val="16"/>
          <w:szCs w:val="16"/>
        </w:rPr>
        <w:t>Professor &amp; Research Guide, Mittal School of Business, Lovely Professional University, Delhi GT Road, Phagwara –144411, Punjab. Email ID: anurag.27255@lpu.co.in</w:t>
      </w:r>
    </w:p>
    <w:p w14:paraId="5AFA88FC" w14:textId="77777777" w:rsidR="00121137" w:rsidRPr="00E707F0" w:rsidRDefault="00121137" w:rsidP="00E707F0">
      <w:pPr>
        <w:pStyle w:val="Heading2"/>
        <w:spacing w:after="0" w:line="240" w:lineRule="auto"/>
        <w:rPr>
          <w:rFonts w:ascii="Georgia" w:hAnsi="Georgia"/>
          <w:color w:val="000000" w:themeColor="text1"/>
          <w:sz w:val="16"/>
          <w:szCs w:val="16"/>
        </w:rPr>
      </w:pPr>
    </w:p>
    <w:p w14:paraId="296B9FDA" w14:textId="155C3981" w:rsidR="00E707F0" w:rsidRPr="00E707F0" w:rsidRDefault="00E707F0" w:rsidP="00E707F0">
      <w:pPr>
        <w:spacing w:after="0" w:line="240" w:lineRule="auto"/>
        <w:rPr>
          <w:rFonts w:ascii="Georgia" w:hAnsi="Georgia"/>
          <w:color w:val="000000" w:themeColor="text1"/>
          <w:sz w:val="16"/>
          <w:szCs w:val="16"/>
        </w:rPr>
      </w:pPr>
      <w:r w:rsidRPr="00E707F0">
        <w:rPr>
          <w:rStyle w:val="fontstyle01"/>
          <w:rFonts w:ascii="Georgia" w:hAnsi="Georgia"/>
          <w:color w:val="2C336A"/>
          <w:sz w:val="16"/>
          <w:szCs w:val="16"/>
        </w:rPr>
        <w:t>Citation:</w:t>
      </w:r>
      <w:r w:rsidRPr="00E707F0">
        <w:rPr>
          <w:rStyle w:val="fontstyle01"/>
          <w:rFonts w:ascii="Georgia" w:hAnsi="Georgia"/>
          <w:color w:val="2C336A"/>
          <w:sz w:val="16"/>
          <w:szCs w:val="16"/>
        </w:rPr>
        <w:t xml:space="preserve"> </w:t>
      </w:r>
      <w:proofErr w:type="spellStart"/>
      <w:r w:rsidRPr="00E707F0">
        <w:rPr>
          <w:rFonts w:ascii="Georgia" w:hAnsi="Georgia"/>
          <w:color w:val="000000" w:themeColor="text1"/>
          <w:sz w:val="16"/>
          <w:szCs w:val="16"/>
        </w:rPr>
        <w:t>Swathi.G</w:t>
      </w:r>
      <w:proofErr w:type="spellEnd"/>
      <w:r w:rsidRPr="00E707F0">
        <w:rPr>
          <w:rFonts w:ascii="Georgia" w:hAnsi="Georgia"/>
          <w:color w:val="000000" w:themeColor="text1"/>
          <w:sz w:val="16"/>
          <w:szCs w:val="16"/>
        </w:rPr>
        <w:t>, Dr. Anurag Pahuja</w:t>
      </w:r>
      <w:r w:rsidRPr="00E707F0">
        <w:rPr>
          <w:rFonts w:ascii="Georgia" w:hAnsi="Georgia"/>
          <w:color w:val="000000" w:themeColor="text1"/>
          <w:sz w:val="16"/>
          <w:szCs w:val="16"/>
        </w:rPr>
        <w:t xml:space="preserve"> </w:t>
      </w:r>
      <w:r w:rsidRPr="00E707F0">
        <w:rPr>
          <w:rFonts w:ascii="Georgia" w:hAnsi="Georgia"/>
          <w:color w:val="000000" w:themeColor="text1"/>
          <w:sz w:val="16"/>
          <w:szCs w:val="16"/>
        </w:rPr>
        <w:t xml:space="preserve">2024), Research Themes </w:t>
      </w:r>
      <w:proofErr w:type="gramStart"/>
      <w:r w:rsidRPr="00E707F0">
        <w:rPr>
          <w:rFonts w:ascii="Georgia" w:hAnsi="Georgia"/>
          <w:color w:val="000000" w:themeColor="text1"/>
          <w:sz w:val="16"/>
          <w:szCs w:val="16"/>
        </w:rPr>
        <w:t>And</w:t>
      </w:r>
      <w:proofErr w:type="gramEnd"/>
      <w:r w:rsidRPr="00E707F0">
        <w:rPr>
          <w:rFonts w:ascii="Georgia" w:hAnsi="Georgia"/>
          <w:color w:val="000000" w:themeColor="text1"/>
          <w:sz w:val="16"/>
          <w:szCs w:val="16"/>
        </w:rPr>
        <w:t xml:space="preserve"> Theoretical Connections Between Corporate Governance And ESG</w:t>
      </w:r>
    </w:p>
    <w:p w14:paraId="22BC3B01" w14:textId="0E0EF4E8" w:rsidR="00E707F0" w:rsidRPr="00E707F0" w:rsidRDefault="00E707F0" w:rsidP="00E707F0">
      <w:pPr>
        <w:spacing w:after="0" w:line="240" w:lineRule="auto"/>
        <w:rPr>
          <w:rStyle w:val="fontstyle21"/>
          <w:rFonts w:ascii="Georgia" w:hAnsi="Georgia"/>
          <w:color w:val="000000" w:themeColor="text1"/>
          <w:sz w:val="16"/>
          <w:szCs w:val="16"/>
        </w:rPr>
      </w:pPr>
      <w:r w:rsidRPr="00E707F0">
        <w:rPr>
          <w:rStyle w:val="fontstyle31"/>
          <w:rFonts w:ascii="Georgia" w:hAnsi="Georgia"/>
          <w:color w:val="000000" w:themeColor="text1"/>
          <w:sz w:val="16"/>
          <w:szCs w:val="16"/>
        </w:rPr>
        <w:t>Educational Administration: Theory and Practice</w:t>
      </w:r>
      <w:r w:rsidRPr="00E707F0">
        <w:rPr>
          <w:rStyle w:val="fontstyle21"/>
          <w:rFonts w:ascii="Georgia" w:hAnsi="Georgia"/>
          <w:color w:val="000000" w:themeColor="text1"/>
          <w:sz w:val="16"/>
          <w:szCs w:val="16"/>
        </w:rPr>
        <w:t xml:space="preserve">, </w:t>
      </w:r>
      <w:r w:rsidRPr="00E707F0">
        <w:rPr>
          <w:rStyle w:val="fontstyle31"/>
          <w:rFonts w:ascii="Georgia" w:hAnsi="Georgia"/>
          <w:color w:val="000000" w:themeColor="text1"/>
          <w:sz w:val="16"/>
          <w:szCs w:val="16"/>
        </w:rPr>
        <w:t>30</w:t>
      </w:r>
      <w:r w:rsidRPr="00E707F0">
        <w:rPr>
          <w:rStyle w:val="fontstyle21"/>
          <w:rFonts w:ascii="Georgia" w:hAnsi="Georgia"/>
          <w:color w:val="000000" w:themeColor="text1"/>
          <w:sz w:val="16"/>
          <w:szCs w:val="16"/>
        </w:rPr>
        <w:t>(5), 393</w:t>
      </w:r>
      <w:r w:rsidR="007F027E">
        <w:rPr>
          <w:rStyle w:val="fontstyle21"/>
          <w:rFonts w:ascii="Georgia" w:hAnsi="Georgia"/>
          <w:color w:val="000000" w:themeColor="text1"/>
          <w:sz w:val="16"/>
          <w:szCs w:val="16"/>
        </w:rPr>
        <w:t>6</w:t>
      </w:r>
      <w:r w:rsidRPr="00E707F0">
        <w:rPr>
          <w:rStyle w:val="fontstyle21"/>
          <w:rFonts w:ascii="Georgia" w:hAnsi="Georgia"/>
          <w:color w:val="000000" w:themeColor="text1"/>
          <w:sz w:val="16"/>
          <w:szCs w:val="16"/>
        </w:rPr>
        <w:t>-39</w:t>
      </w:r>
      <w:r w:rsidR="007F027E">
        <w:rPr>
          <w:rStyle w:val="fontstyle21"/>
          <w:rFonts w:ascii="Georgia" w:hAnsi="Georgia"/>
          <w:color w:val="000000" w:themeColor="text1"/>
          <w:sz w:val="16"/>
          <w:szCs w:val="16"/>
        </w:rPr>
        <w:t>42</w:t>
      </w:r>
    </w:p>
    <w:p w14:paraId="5D271B05" w14:textId="72C461CF" w:rsidR="00E707F0" w:rsidRDefault="00E707F0" w:rsidP="00E707F0">
      <w:pPr>
        <w:spacing w:after="0" w:line="240" w:lineRule="auto"/>
        <w:rPr>
          <w:rStyle w:val="fontstyle21"/>
          <w:rFonts w:ascii="Georgia" w:hAnsi="Georgia"/>
          <w:color w:val="000000" w:themeColor="text1"/>
          <w:sz w:val="16"/>
          <w:szCs w:val="16"/>
        </w:rPr>
      </w:pPr>
      <w:r w:rsidRPr="00E707F0">
        <w:rPr>
          <w:rStyle w:val="fontstyle21"/>
          <w:rFonts w:ascii="Georgia" w:hAnsi="Georgia"/>
          <w:color w:val="000000" w:themeColor="text1"/>
          <w:sz w:val="16"/>
          <w:szCs w:val="16"/>
        </w:rPr>
        <w:t>Doi:</w:t>
      </w:r>
      <w:r w:rsidRPr="00E707F0">
        <w:rPr>
          <w:color w:val="000000" w:themeColor="text1"/>
          <w:sz w:val="16"/>
          <w:szCs w:val="16"/>
        </w:rPr>
        <w:t xml:space="preserve"> </w:t>
      </w:r>
      <w:r w:rsidR="00BB5525" w:rsidRPr="00BB5525">
        <w:rPr>
          <w:rStyle w:val="fontstyle21"/>
          <w:rFonts w:ascii="Georgia" w:hAnsi="Georgia"/>
          <w:color w:val="000000" w:themeColor="text1"/>
          <w:sz w:val="16"/>
          <w:szCs w:val="16"/>
        </w:rPr>
        <w:t>10.53555/</w:t>
      </w:r>
      <w:proofErr w:type="gramStart"/>
      <w:r w:rsidR="00BB5525" w:rsidRPr="00BB5525">
        <w:rPr>
          <w:rStyle w:val="fontstyle21"/>
          <w:rFonts w:ascii="Georgia" w:hAnsi="Georgia"/>
          <w:color w:val="000000" w:themeColor="text1"/>
          <w:sz w:val="16"/>
          <w:szCs w:val="16"/>
        </w:rPr>
        <w:t>kuey.v</w:t>
      </w:r>
      <w:proofErr w:type="gramEnd"/>
      <w:r w:rsidR="00BB5525" w:rsidRPr="00BB5525">
        <w:rPr>
          <w:rStyle w:val="fontstyle21"/>
          <w:rFonts w:ascii="Georgia" w:hAnsi="Georgia"/>
          <w:color w:val="000000" w:themeColor="text1"/>
          <w:sz w:val="16"/>
          <w:szCs w:val="16"/>
        </w:rPr>
        <w:t>30i5.3549</w:t>
      </w:r>
    </w:p>
    <w:p w14:paraId="76EABA83" w14:textId="77777777" w:rsidR="00BB5525" w:rsidRPr="00E707F0" w:rsidRDefault="00BB5525" w:rsidP="00E707F0">
      <w:pPr>
        <w:spacing w:after="0" w:line="240" w:lineRule="auto"/>
        <w:rPr>
          <w:rStyle w:val="fontstyle21"/>
          <w:rFonts w:ascii="Georgia" w:hAnsi="Georgia"/>
          <w:color w:val="000000" w:themeColor="text1"/>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830"/>
      </w:tblGrid>
      <w:tr w:rsidR="00E707F0" w:rsidRPr="005B257B" w14:paraId="7E72363F" w14:textId="77777777" w:rsidTr="00D94CB8">
        <w:trPr>
          <w:trHeight w:val="50"/>
          <w:jc w:val="center"/>
        </w:trPr>
        <w:tc>
          <w:tcPr>
            <w:tcW w:w="1800" w:type="dxa"/>
            <w:tcBorders>
              <w:left w:val="nil"/>
              <w:right w:val="nil"/>
            </w:tcBorders>
            <w:shd w:val="clear" w:color="auto" w:fill="auto"/>
          </w:tcPr>
          <w:p w14:paraId="5EBEC3C5" w14:textId="77777777" w:rsidR="00E707F0" w:rsidRPr="001B49C6" w:rsidRDefault="00E707F0" w:rsidP="00D94CB8">
            <w:pPr>
              <w:ind w:right="31"/>
              <w:contextualSpacing/>
              <w:rPr>
                <w:rFonts w:ascii="Georgia" w:hAnsi="Georgia"/>
                <w:b/>
                <w:sz w:val="16"/>
                <w:szCs w:val="16"/>
              </w:rPr>
            </w:pPr>
            <w:r w:rsidRPr="001B49C6">
              <w:rPr>
                <w:rFonts w:ascii="Georgia" w:eastAsia="Georgia" w:hAnsi="Georgia" w:cs="Georgia"/>
                <w:b/>
                <w:color w:val="2C336A"/>
                <w:sz w:val="18"/>
              </w:rPr>
              <w:t>ARTICLE INFO</w:t>
            </w:r>
          </w:p>
        </w:tc>
        <w:tc>
          <w:tcPr>
            <w:tcW w:w="7830" w:type="dxa"/>
            <w:tcBorders>
              <w:left w:val="nil"/>
              <w:right w:val="nil"/>
            </w:tcBorders>
            <w:shd w:val="clear" w:color="auto" w:fill="auto"/>
          </w:tcPr>
          <w:p w14:paraId="576951C1" w14:textId="77777777" w:rsidR="00E707F0" w:rsidRPr="001B49C6" w:rsidRDefault="00E707F0" w:rsidP="00D94CB8">
            <w:pPr>
              <w:ind w:right="31"/>
              <w:contextualSpacing/>
              <w:rPr>
                <w:rFonts w:ascii="Georgia" w:hAnsi="Georgia"/>
                <w:b/>
                <w:sz w:val="16"/>
                <w:szCs w:val="16"/>
              </w:rPr>
            </w:pPr>
            <w:r w:rsidRPr="001B49C6">
              <w:rPr>
                <w:rFonts w:ascii="Georgia" w:eastAsia="Georgia" w:hAnsi="Georgia" w:cs="Georgia"/>
                <w:b/>
                <w:color w:val="2C336A"/>
                <w:sz w:val="18"/>
              </w:rPr>
              <w:t>ABS</w:t>
            </w:r>
            <w:r w:rsidRPr="001B49C6">
              <w:rPr>
                <w:rFonts w:ascii="Georgia" w:eastAsia="Georgia" w:hAnsi="Georgia" w:cs="Georgia"/>
                <w:b/>
                <w:color w:val="002060"/>
                <w:sz w:val="18"/>
              </w:rPr>
              <w:t>TRACT</w:t>
            </w:r>
          </w:p>
        </w:tc>
      </w:tr>
      <w:tr w:rsidR="00E707F0" w:rsidRPr="005B257B" w14:paraId="46CADB13" w14:textId="77777777" w:rsidTr="00D94CB8">
        <w:trPr>
          <w:trHeight w:val="1515"/>
          <w:jc w:val="center"/>
        </w:trPr>
        <w:tc>
          <w:tcPr>
            <w:tcW w:w="1800" w:type="dxa"/>
            <w:tcBorders>
              <w:left w:val="nil"/>
              <w:right w:val="nil"/>
            </w:tcBorders>
            <w:shd w:val="clear" w:color="auto" w:fill="auto"/>
          </w:tcPr>
          <w:p w14:paraId="7E98069E" w14:textId="77777777" w:rsidR="00E707F0" w:rsidRPr="001B49C6" w:rsidRDefault="00E707F0" w:rsidP="00D94CB8">
            <w:pPr>
              <w:ind w:right="31"/>
              <w:contextualSpacing/>
              <w:rPr>
                <w:rFonts w:ascii="Georgia" w:hAnsi="Georgia"/>
                <w:sz w:val="16"/>
                <w:szCs w:val="16"/>
              </w:rPr>
            </w:pPr>
          </w:p>
        </w:tc>
        <w:tc>
          <w:tcPr>
            <w:tcW w:w="7830" w:type="dxa"/>
            <w:tcBorders>
              <w:left w:val="nil"/>
              <w:right w:val="nil"/>
            </w:tcBorders>
            <w:shd w:val="clear" w:color="auto" w:fill="auto"/>
          </w:tcPr>
          <w:p w14:paraId="074BDBFE" w14:textId="77777777" w:rsidR="00E707F0" w:rsidRDefault="00E707F0" w:rsidP="00E707F0">
            <w:pPr>
              <w:spacing w:after="0" w:line="240" w:lineRule="auto"/>
              <w:rPr>
                <w:rFonts w:ascii="Georgia" w:hAnsi="Georgia"/>
                <w:color w:val="000000" w:themeColor="text1"/>
                <w:sz w:val="20"/>
                <w:szCs w:val="20"/>
              </w:rPr>
            </w:pPr>
            <w:r w:rsidRPr="00E707F0">
              <w:rPr>
                <w:rFonts w:ascii="Georgia" w:hAnsi="Georgia"/>
                <w:color w:val="000000" w:themeColor="text1"/>
                <w:sz w:val="20"/>
                <w:szCs w:val="20"/>
              </w:rPr>
              <w:t xml:space="preserve">Corporate companies' integration of Environmental, Social, and Governance (ESG) in their regular business activities is gaining importance. Researchers got promoted to explore the connections between ESG and existing corporate governance frameworks. This </w:t>
            </w:r>
            <w:proofErr w:type="spellStart"/>
            <w:r w:rsidRPr="00E707F0">
              <w:rPr>
                <w:rFonts w:ascii="Georgia" w:hAnsi="Georgia"/>
                <w:color w:val="000000" w:themeColor="text1"/>
                <w:sz w:val="20"/>
                <w:szCs w:val="20"/>
              </w:rPr>
              <w:t>studyattempts</w:t>
            </w:r>
            <w:proofErr w:type="spellEnd"/>
            <w:r w:rsidRPr="00E707F0">
              <w:rPr>
                <w:rFonts w:ascii="Georgia" w:hAnsi="Georgia"/>
                <w:color w:val="000000" w:themeColor="text1"/>
                <w:sz w:val="20"/>
                <w:szCs w:val="20"/>
              </w:rPr>
              <w:t xml:space="preserve"> to identify the theoretical connections and critical research areas through a comprehensive literature review. By analyzing various studies employing various approaches, the review examines </w:t>
            </w:r>
            <w:proofErr w:type="spellStart"/>
            <w:r w:rsidRPr="00E707F0">
              <w:rPr>
                <w:rFonts w:ascii="Georgia" w:hAnsi="Georgia"/>
                <w:color w:val="000000" w:themeColor="text1"/>
                <w:sz w:val="20"/>
                <w:szCs w:val="20"/>
              </w:rPr>
              <w:t>howgovernance</w:t>
            </w:r>
            <w:proofErr w:type="spellEnd"/>
            <w:r w:rsidRPr="00E707F0">
              <w:rPr>
                <w:rFonts w:ascii="Georgia" w:hAnsi="Georgia"/>
                <w:color w:val="000000" w:themeColor="text1"/>
                <w:sz w:val="20"/>
                <w:szCs w:val="20"/>
              </w:rPr>
              <w:t xml:space="preserve"> mechanisms – including board composition, executive compensation, shareholder rights, ownership structures, and transparency practices – influence ESG implementation and performance. The analysis identifies theoretical frameworks that underpin these connections, highlighting themes like agency theory, stakeholder theory, and resource dependence theory. Furthermore, the review synthesizes emerging research avenues, suggesting potential future directions for exploring the intersection of corporate governance and ESG. This comprehensive analysis offers valuable insights for academics, practitioners, and policymakers seeking to understand the evolving dynamics of responsible business practices and inform impactful strategies for advancing corporate sustainability.</w:t>
            </w:r>
          </w:p>
          <w:p w14:paraId="30ED86CF" w14:textId="77777777" w:rsidR="00E707F0" w:rsidRPr="00E707F0" w:rsidRDefault="00E707F0" w:rsidP="00E707F0">
            <w:pPr>
              <w:spacing w:after="0" w:line="240" w:lineRule="auto"/>
              <w:rPr>
                <w:rFonts w:ascii="Georgia" w:hAnsi="Georgia"/>
                <w:color w:val="000000" w:themeColor="text1"/>
                <w:sz w:val="20"/>
                <w:szCs w:val="20"/>
              </w:rPr>
            </w:pPr>
          </w:p>
          <w:p w14:paraId="06C4CBCB" w14:textId="23598852" w:rsidR="00E707F0" w:rsidRPr="001B49C6" w:rsidRDefault="00E707F0" w:rsidP="00E707F0">
            <w:pPr>
              <w:spacing w:after="0" w:line="240" w:lineRule="auto"/>
              <w:rPr>
                <w:rFonts w:ascii="Georgia" w:hAnsi="Georgia"/>
                <w:sz w:val="20"/>
              </w:rPr>
            </w:pPr>
            <w:r w:rsidRPr="00E707F0">
              <w:rPr>
                <w:rFonts w:ascii="Georgia" w:hAnsi="Georgia"/>
                <w:b/>
                <w:bCs/>
                <w:color w:val="2C336A"/>
                <w:sz w:val="20"/>
                <w:szCs w:val="20"/>
              </w:rPr>
              <w:t>Keywords</w:t>
            </w:r>
            <w:r w:rsidRPr="00E707F0">
              <w:rPr>
                <w:rFonts w:ascii="Georgia" w:hAnsi="Georgia"/>
                <w:color w:val="2C336A"/>
                <w:sz w:val="20"/>
                <w:szCs w:val="20"/>
              </w:rPr>
              <w:t>:</w:t>
            </w:r>
            <w:r w:rsidRPr="00E707F0">
              <w:rPr>
                <w:rFonts w:ascii="Georgia" w:hAnsi="Georgia"/>
                <w:color w:val="000000" w:themeColor="text1"/>
                <w:sz w:val="20"/>
                <w:szCs w:val="20"/>
              </w:rPr>
              <w:t xml:space="preserve"> </w:t>
            </w:r>
            <w:proofErr w:type="spellStart"/>
            <w:r w:rsidRPr="00E707F0">
              <w:rPr>
                <w:rFonts w:ascii="Georgia" w:hAnsi="Georgia"/>
                <w:color w:val="000000" w:themeColor="text1"/>
                <w:sz w:val="20"/>
                <w:szCs w:val="20"/>
              </w:rPr>
              <w:t>esg</w:t>
            </w:r>
            <w:proofErr w:type="spellEnd"/>
            <w:r w:rsidRPr="00E707F0">
              <w:rPr>
                <w:rFonts w:ascii="Georgia" w:hAnsi="Georgia"/>
                <w:color w:val="000000" w:themeColor="text1"/>
                <w:sz w:val="20"/>
                <w:szCs w:val="20"/>
              </w:rPr>
              <w:t xml:space="preserve"> integration, sustainable business, reporting standards, </w:t>
            </w:r>
            <w:proofErr w:type="spellStart"/>
            <w:r w:rsidRPr="00E707F0">
              <w:rPr>
                <w:rFonts w:ascii="Georgia" w:hAnsi="Georgia"/>
                <w:color w:val="000000" w:themeColor="text1"/>
                <w:sz w:val="20"/>
                <w:szCs w:val="20"/>
              </w:rPr>
              <w:t>esg</w:t>
            </w:r>
            <w:proofErr w:type="spellEnd"/>
            <w:r w:rsidRPr="00E707F0">
              <w:rPr>
                <w:rFonts w:ascii="Georgia" w:hAnsi="Georgia"/>
                <w:color w:val="000000" w:themeColor="text1"/>
                <w:sz w:val="20"/>
                <w:szCs w:val="20"/>
              </w:rPr>
              <w:t xml:space="preserve"> policies, company board</w:t>
            </w:r>
          </w:p>
        </w:tc>
      </w:tr>
    </w:tbl>
    <w:p w14:paraId="7D669C9C" w14:textId="77777777" w:rsidR="00E707F0" w:rsidRDefault="00E707F0" w:rsidP="00E707F0">
      <w:pPr>
        <w:pStyle w:val="Heading1"/>
        <w:spacing w:after="0" w:line="240" w:lineRule="auto"/>
        <w:jc w:val="both"/>
        <w:rPr>
          <w:rFonts w:ascii="Georgia" w:hAnsi="Georgia"/>
          <w:color w:val="000000" w:themeColor="text1"/>
          <w:sz w:val="20"/>
          <w:szCs w:val="20"/>
        </w:rPr>
      </w:pPr>
    </w:p>
    <w:p w14:paraId="5316D789" w14:textId="3CCF7274" w:rsidR="008E37A3" w:rsidRDefault="008E37A3" w:rsidP="00E707F0">
      <w:pPr>
        <w:pStyle w:val="Heading1"/>
        <w:spacing w:after="0" w:line="240" w:lineRule="auto"/>
        <w:jc w:val="center"/>
        <w:rPr>
          <w:rFonts w:ascii="Georgia" w:hAnsi="Georgia"/>
          <w:color w:val="2C336A"/>
          <w:sz w:val="20"/>
          <w:szCs w:val="20"/>
        </w:rPr>
      </w:pPr>
      <w:r w:rsidRPr="00E707F0">
        <w:rPr>
          <w:rFonts w:ascii="Georgia" w:hAnsi="Georgia"/>
          <w:color w:val="2C336A"/>
          <w:sz w:val="20"/>
          <w:szCs w:val="20"/>
        </w:rPr>
        <w:t>Introduction</w:t>
      </w:r>
    </w:p>
    <w:p w14:paraId="78DA79B0" w14:textId="77777777" w:rsidR="00E707F0" w:rsidRPr="00E707F0" w:rsidRDefault="00E707F0" w:rsidP="00E707F0">
      <w:pPr>
        <w:spacing w:after="0"/>
      </w:pPr>
    </w:p>
    <w:p w14:paraId="2E577C63" w14:textId="77777777" w:rsidR="008E37A3" w:rsidRPr="00E707F0" w:rsidRDefault="008E37A3" w:rsidP="00E707F0">
      <w:pPr>
        <w:spacing w:after="0" w:line="240" w:lineRule="auto"/>
        <w:rPr>
          <w:rFonts w:ascii="Georgia" w:hAnsi="Georgia"/>
          <w:color w:val="000000" w:themeColor="text1"/>
          <w:sz w:val="20"/>
          <w:szCs w:val="20"/>
        </w:rPr>
      </w:pPr>
      <w:r w:rsidRPr="00E707F0">
        <w:rPr>
          <w:rFonts w:ascii="Georgia" w:hAnsi="Georgia"/>
          <w:color w:val="000000" w:themeColor="text1"/>
          <w:sz w:val="20"/>
          <w:szCs w:val="20"/>
        </w:rPr>
        <w:t xml:space="preserve">Corporate governance and environmental, social, and governance (ESG) practices have become increasingly important topics in practice and academia. As companies recognize the growing need to integrate sustainability into their core business strategies and operations, researchers have sought to better understand the theoretical connections and practical implications at the intersection of corporate governance and ESG. </w:t>
      </w:r>
    </w:p>
    <w:p w14:paraId="6D4BAD1E" w14:textId="77777777" w:rsidR="008E37A3" w:rsidRDefault="008E37A3" w:rsidP="00E707F0">
      <w:pPr>
        <w:spacing w:after="0" w:line="240" w:lineRule="auto"/>
        <w:rPr>
          <w:rFonts w:ascii="Georgia" w:hAnsi="Georgia"/>
          <w:color w:val="000000" w:themeColor="text1"/>
          <w:sz w:val="20"/>
          <w:szCs w:val="20"/>
        </w:rPr>
      </w:pPr>
      <w:r w:rsidRPr="00E707F0">
        <w:rPr>
          <w:rFonts w:ascii="Georgia" w:hAnsi="Georgia"/>
          <w:color w:val="000000" w:themeColor="text1"/>
          <w:sz w:val="20"/>
          <w:szCs w:val="20"/>
        </w:rPr>
        <w:t xml:space="preserve">This paper aims to provide a comprehensive review and analysis of the literature on this topic by identifying major research themes, theoretical frameworks, and emerging issues. Through a systematic search and appraisal of relevant qualitative studies employing a meta-synthesis approach, the paper examines how various aspects of corporate governance, such as board composition, ownership structures, transparency practices, and risk management, influence a company's ESG performance and integration efforts. In addition, key theories linking governance and ESG are explored. The review also synthesizes opportunities for future research to advance </w:t>
      </w:r>
      <w:proofErr w:type="spellStart"/>
      <w:r w:rsidRPr="00E707F0">
        <w:rPr>
          <w:rFonts w:ascii="Georgia" w:hAnsi="Georgia"/>
          <w:color w:val="000000" w:themeColor="text1"/>
          <w:sz w:val="20"/>
          <w:szCs w:val="20"/>
        </w:rPr>
        <w:t>furtherby</w:t>
      </w:r>
      <w:proofErr w:type="spellEnd"/>
      <w:r w:rsidRPr="00E707F0">
        <w:rPr>
          <w:rFonts w:ascii="Georgia" w:hAnsi="Georgia"/>
          <w:color w:val="000000" w:themeColor="text1"/>
          <w:sz w:val="20"/>
          <w:szCs w:val="20"/>
        </w:rPr>
        <w:t xml:space="preserve"> understanding of this important and rapidly developing area of responsible business practices and long-term value creation.</w:t>
      </w:r>
    </w:p>
    <w:p w14:paraId="1ACE108C" w14:textId="77777777" w:rsidR="00E707F0" w:rsidRPr="00E707F0" w:rsidRDefault="00E707F0" w:rsidP="00E707F0">
      <w:pPr>
        <w:spacing w:after="0" w:line="240" w:lineRule="auto"/>
        <w:rPr>
          <w:rFonts w:ascii="Georgia" w:hAnsi="Georgia"/>
          <w:color w:val="000000" w:themeColor="text1"/>
          <w:sz w:val="20"/>
          <w:szCs w:val="20"/>
        </w:rPr>
      </w:pPr>
    </w:p>
    <w:p w14:paraId="0B3D38DC" w14:textId="77777777" w:rsidR="008E37A3" w:rsidRDefault="008E37A3" w:rsidP="00E707F0">
      <w:pPr>
        <w:pStyle w:val="Heading1"/>
        <w:spacing w:after="0" w:line="240" w:lineRule="auto"/>
        <w:jc w:val="center"/>
        <w:rPr>
          <w:rFonts w:ascii="Georgia" w:hAnsi="Georgia"/>
          <w:color w:val="2C336A"/>
          <w:sz w:val="20"/>
          <w:szCs w:val="20"/>
        </w:rPr>
      </w:pPr>
      <w:r w:rsidRPr="00E707F0">
        <w:rPr>
          <w:rFonts w:ascii="Georgia" w:hAnsi="Georgia"/>
          <w:color w:val="2C336A"/>
          <w:sz w:val="20"/>
          <w:szCs w:val="20"/>
        </w:rPr>
        <w:t>Review of Literature</w:t>
      </w:r>
    </w:p>
    <w:p w14:paraId="153A2A1B" w14:textId="77777777" w:rsidR="00E707F0" w:rsidRPr="00E707F0" w:rsidRDefault="00E707F0" w:rsidP="00CA1965">
      <w:pPr>
        <w:spacing w:after="0"/>
      </w:pPr>
    </w:p>
    <w:p w14:paraId="46BB0532" w14:textId="77777777" w:rsidR="008E37A3" w:rsidRDefault="008E37A3" w:rsidP="00CA1965">
      <w:pPr>
        <w:spacing w:after="0" w:line="240" w:lineRule="auto"/>
        <w:rPr>
          <w:rFonts w:ascii="Georgia" w:hAnsi="Georgia"/>
          <w:color w:val="000000" w:themeColor="text1"/>
          <w:sz w:val="20"/>
          <w:szCs w:val="20"/>
        </w:rPr>
      </w:pPr>
      <w:r w:rsidRPr="00E707F0">
        <w:rPr>
          <w:rFonts w:ascii="Georgia" w:hAnsi="Georgia"/>
          <w:color w:val="000000" w:themeColor="text1"/>
          <w:sz w:val="20"/>
          <w:szCs w:val="20"/>
        </w:rPr>
        <w:t>Corporate governance and ESG are topics of increasing academic interest. Table 1 shows the search trends on the topic in leading academic databases. In order to have a fair view, leading and mid-range academic search databases are considered.</w:t>
      </w:r>
    </w:p>
    <w:p w14:paraId="5E569DA3" w14:textId="77777777" w:rsidR="00E707F0" w:rsidRPr="00E707F0" w:rsidRDefault="00E707F0" w:rsidP="00E707F0">
      <w:pPr>
        <w:spacing w:after="0" w:line="240" w:lineRule="auto"/>
        <w:rPr>
          <w:rFonts w:ascii="Georgia" w:hAnsi="Georgia"/>
          <w:color w:val="000000" w:themeColor="text1"/>
          <w:sz w:val="20"/>
          <w:szCs w:val="20"/>
        </w:rPr>
      </w:pPr>
    </w:p>
    <w:p w14:paraId="2B18CC34" w14:textId="77777777" w:rsidR="00E707F0" w:rsidRDefault="00E707F0" w:rsidP="00E707F0">
      <w:pPr>
        <w:spacing w:after="0" w:line="240" w:lineRule="auto"/>
        <w:jc w:val="center"/>
        <w:rPr>
          <w:rFonts w:ascii="Georgia" w:hAnsi="Georgia"/>
          <w:b/>
          <w:bCs/>
          <w:color w:val="000000" w:themeColor="text1"/>
          <w:sz w:val="20"/>
          <w:szCs w:val="20"/>
        </w:rPr>
      </w:pPr>
    </w:p>
    <w:p w14:paraId="572684DE" w14:textId="77777777" w:rsidR="00E707F0" w:rsidRDefault="00E707F0" w:rsidP="00E707F0">
      <w:pPr>
        <w:spacing w:after="0" w:line="240" w:lineRule="auto"/>
        <w:jc w:val="center"/>
        <w:rPr>
          <w:rFonts w:ascii="Georgia" w:hAnsi="Georgia"/>
          <w:b/>
          <w:bCs/>
          <w:color w:val="000000" w:themeColor="text1"/>
          <w:sz w:val="20"/>
          <w:szCs w:val="20"/>
        </w:rPr>
      </w:pPr>
    </w:p>
    <w:p w14:paraId="075D651C" w14:textId="77777777" w:rsidR="00CA1965" w:rsidRDefault="00CA1965" w:rsidP="00E707F0">
      <w:pPr>
        <w:spacing w:after="0" w:line="240" w:lineRule="auto"/>
        <w:jc w:val="center"/>
        <w:rPr>
          <w:rFonts w:ascii="Georgia" w:hAnsi="Georgia"/>
          <w:b/>
          <w:bCs/>
          <w:color w:val="000000" w:themeColor="text1"/>
          <w:sz w:val="20"/>
          <w:szCs w:val="20"/>
        </w:rPr>
      </w:pPr>
    </w:p>
    <w:p w14:paraId="0FC32EA0" w14:textId="57F5AF92" w:rsidR="008E37A3" w:rsidRPr="00E707F0" w:rsidRDefault="008E37A3" w:rsidP="00E707F0">
      <w:pPr>
        <w:spacing w:after="0" w:line="240" w:lineRule="auto"/>
        <w:jc w:val="center"/>
        <w:rPr>
          <w:rFonts w:ascii="Georgia" w:hAnsi="Georgia"/>
          <w:color w:val="000000" w:themeColor="text1"/>
          <w:sz w:val="20"/>
          <w:szCs w:val="20"/>
        </w:rPr>
      </w:pPr>
      <w:r w:rsidRPr="00E707F0">
        <w:rPr>
          <w:rFonts w:ascii="Georgia" w:hAnsi="Georgia"/>
          <w:b/>
          <w:bCs/>
          <w:color w:val="000000" w:themeColor="text1"/>
          <w:sz w:val="20"/>
          <w:szCs w:val="20"/>
        </w:rPr>
        <w:lastRenderedPageBreak/>
        <w:t>Table 1</w:t>
      </w:r>
      <w:r w:rsidRPr="00E707F0">
        <w:rPr>
          <w:rFonts w:ascii="Georgia" w:hAnsi="Georgia"/>
          <w:color w:val="000000" w:themeColor="text1"/>
          <w:sz w:val="20"/>
          <w:szCs w:val="20"/>
        </w:rPr>
        <w:t>. Search trends across databases</w:t>
      </w:r>
    </w:p>
    <w:tbl>
      <w:tblPr>
        <w:tblStyle w:val="GridTable1Light1"/>
        <w:tblW w:w="0" w:type="auto"/>
        <w:jc w:val="center"/>
        <w:tblLook w:val="04A0" w:firstRow="1" w:lastRow="0" w:firstColumn="1" w:lastColumn="0" w:noHBand="0" w:noVBand="1"/>
      </w:tblPr>
      <w:tblGrid>
        <w:gridCol w:w="2026"/>
        <w:gridCol w:w="1261"/>
        <w:gridCol w:w="1426"/>
        <w:gridCol w:w="1426"/>
        <w:gridCol w:w="1427"/>
        <w:gridCol w:w="1427"/>
      </w:tblGrid>
      <w:tr w:rsidR="00E707F0" w:rsidRPr="00E707F0" w14:paraId="623E5680" w14:textId="77777777" w:rsidTr="00E707F0">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2026" w:type="dxa"/>
          </w:tcPr>
          <w:p w14:paraId="4DE07356" w14:textId="77777777" w:rsidR="008E37A3" w:rsidRPr="00E707F0" w:rsidRDefault="008E37A3" w:rsidP="00E707F0">
            <w:pPr>
              <w:spacing w:after="0" w:line="240" w:lineRule="auto"/>
              <w:rPr>
                <w:rFonts w:ascii="Georgia" w:hAnsi="Georgia"/>
                <w:color w:val="000000" w:themeColor="text1"/>
                <w:sz w:val="20"/>
                <w:szCs w:val="20"/>
              </w:rPr>
            </w:pPr>
            <w:r w:rsidRPr="00E707F0">
              <w:rPr>
                <w:rFonts w:ascii="Georgia" w:hAnsi="Georgia"/>
                <w:color w:val="000000" w:themeColor="text1"/>
                <w:sz w:val="20"/>
                <w:szCs w:val="20"/>
              </w:rPr>
              <w:t>Database</w:t>
            </w:r>
          </w:p>
        </w:tc>
        <w:tc>
          <w:tcPr>
            <w:tcW w:w="1261" w:type="dxa"/>
          </w:tcPr>
          <w:p w14:paraId="36B58176" w14:textId="77777777" w:rsidR="008E37A3" w:rsidRPr="00E707F0" w:rsidRDefault="008E37A3" w:rsidP="00E707F0">
            <w:pPr>
              <w:spacing w:after="0" w:line="240" w:lineRule="auto"/>
              <w:cnfStyle w:val="100000000000" w:firstRow="1"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2019</w:t>
            </w:r>
          </w:p>
        </w:tc>
        <w:tc>
          <w:tcPr>
            <w:tcW w:w="1426" w:type="dxa"/>
          </w:tcPr>
          <w:p w14:paraId="6C344FD3" w14:textId="77777777" w:rsidR="008E37A3" w:rsidRPr="00E707F0" w:rsidRDefault="008E37A3" w:rsidP="00E707F0">
            <w:pPr>
              <w:spacing w:after="0" w:line="240" w:lineRule="auto"/>
              <w:cnfStyle w:val="100000000000" w:firstRow="1"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2020</w:t>
            </w:r>
          </w:p>
        </w:tc>
        <w:tc>
          <w:tcPr>
            <w:tcW w:w="1426" w:type="dxa"/>
          </w:tcPr>
          <w:p w14:paraId="2DE74831" w14:textId="77777777" w:rsidR="008E37A3" w:rsidRPr="00E707F0" w:rsidRDefault="008E37A3" w:rsidP="00E707F0">
            <w:pPr>
              <w:spacing w:after="0" w:line="240" w:lineRule="auto"/>
              <w:cnfStyle w:val="100000000000" w:firstRow="1"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2021</w:t>
            </w:r>
          </w:p>
        </w:tc>
        <w:tc>
          <w:tcPr>
            <w:tcW w:w="1427" w:type="dxa"/>
          </w:tcPr>
          <w:p w14:paraId="1CC94111" w14:textId="77777777" w:rsidR="008E37A3" w:rsidRPr="00E707F0" w:rsidRDefault="008E37A3" w:rsidP="00E707F0">
            <w:pPr>
              <w:spacing w:after="0" w:line="240" w:lineRule="auto"/>
              <w:cnfStyle w:val="100000000000" w:firstRow="1"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2022</w:t>
            </w:r>
          </w:p>
        </w:tc>
        <w:tc>
          <w:tcPr>
            <w:tcW w:w="1427" w:type="dxa"/>
          </w:tcPr>
          <w:p w14:paraId="6FD1E4AB" w14:textId="77777777" w:rsidR="008E37A3" w:rsidRPr="00E707F0" w:rsidRDefault="008E37A3" w:rsidP="00E707F0">
            <w:pPr>
              <w:spacing w:after="0" w:line="240" w:lineRule="auto"/>
              <w:cnfStyle w:val="100000000000" w:firstRow="1"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2023</w:t>
            </w:r>
          </w:p>
        </w:tc>
      </w:tr>
      <w:tr w:rsidR="00E707F0" w:rsidRPr="00E707F0" w14:paraId="6C2B3DF9" w14:textId="77777777" w:rsidTr="00E707F0">
        <w:trPr>
          <w:trHeight w:val="247"/>
          <w:jc w:val="center"/>
        </w:trPr>
        <w:tc>
          <w:tcPr>
            <w:cnfStyle w:val="001000000000" w:firstRow="0" w:lastRow="0" w:firstColumn="1" w:lastColumn="0" w:oddVBand="0" w:evenVBand="0" w:oddHBand="0" w:evenHBand="0" w:firstRowFirstColumn="0" w:firstRowLastColumn="0" w:lastRowFirstColumn="0" w:lastRowLastColumn="0"/>
            <w:tcW w:w="2026" w:type="dxa"/>
          </w:tcPr>
          <w:p w14:paraId="0C895960" w14:textId="77777777" w:rsidR="008E37A3" w:rsidRPr="00E707F0" w:rsidRDefault="008E37A3" w:rsidP="00E707F0">
            <w:pPr>
              <w:spacing w:after="0" w:line="240" w:lineRule="auto"/>
              <w:rPr>
                <w:rFonts w:ascii="Georgia" w:hAnsi="Georgia"/>
                <w:b w:val="0"/>
                <w:bCs w:val="0"/>
                <w:color w:val="000000" w:themeColor="text1"/>
                <w:sz w:val="20"/>
                <w:szCs w:val="20"/>
              </w:rPr>
            </w:pPr>
            <w:r w:rsidRPr="00E707F0">
              <w:rPr>
                <w:rFonts w:ascii="Georgia" w:hAnsi="Georgia"/>
                <w:b w:val="0"/>
                <w:bCs w:val="0"/>
                <w:color w:val="000000" w:themeColor="text1"/>
                <w:sz w:val="20"/>
                <w:szCs w:val="20"/>
              </w:rPr>
              <w:t>Scopus</w:t>
            </w:r>
          </w:p>
        </w:tc>
        <w:tc>
          <w:tcPr>
            <w:tcW w:w="1261" w:type="dxa"/>
          </w:tcPr>
          <w:p w14:paraId="0C36686F"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92</w:t>
            </w:r>
          </w:p>
        </w:tc>
        <w:tc>
          <w:tcPr>
            <w:tcW w:w="1426" w:type="dxa"/>
          </w:tcPr>
          <w:p w14:paraId="1E51126A"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143</w:t>
            </w:r>
          </w:p>
        </w:tc>
        <w:tc>
          <w:tcPr>
            <w:tcW w:w="1426" w:type="dxa"/>
          </w:tcPr>
          <w:p w14:paraId="273C26CE"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181</w:t>
            </w:r>
          </w:p>
        </w:tc>
        <w:tc>
          <w:tcPr>
            <w:tcW w:w="1427" w:type="dxa"/>
          </w:tcPr>
          <w:p w14:paraId="49A96C73"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431</w:t>
            </w:r>
          </w:p>
        </w:tc>
        <w:tc>
          <w:tcPr>
            <w:tcW w:w="1427" w:type="dxa"/>
          </w:tcPr>
          <w:p w14:paraId="03B259CA"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685</w:t>
            </w:r>
          </w:p>
        </w:tc>
      </w:tr>
      <w:tr w:rsidR="00E707F0" w:rsidRPr="00E707F0" w14:paraId="2855C692" w14:textId="77777777" w:rsidTr="00E707F0">
        <w:trPr>
          <w:trHeight w:val="58"/>
          <w:jc w:val="center"/>
        </w:trPr>
        <w:tc>
          <w:tcPr>
            <w:cnfStyle w:val="001000000000" w:firstRow="0" w:lastRow="0" w:firstColumn="1" w:lastColumn="0" w:oddVBand="0" w:evenVBand="0" w:oddHBand="0" w:evenHBand="0" w:firstRowFirstColumn="0" w:firstRowLastColumn="0" w:lastRowFirstColumn="0" w:lastRowLastColumn="0"/>
            <w:tcW w:w="2026" w:type="dxa"/>
          </w:tcPr>
          <w:p w14:paraId="51F55E03" w14:textId="77777777" w:rsidR="008E37A3" w:rsidRPr="00E707F0" w:rsidRDefault="008E37A3" w:rsidP="00E707F0">
            <w:pPr>
              <w:spacing w:after="0" w:line="240" w:lineRule="auto"/>
              <w:rPr>
                <w:rFonts w:ascii="Georgia" w:hAnsi="Georgia"/>
                <w:b w:val="0"/>
                <w:bCs w:val="0"/>
                <w:color w:val="000000" w:themeColor="text1"/>
                <w:sz w:val="20"/>
                <w:szCs w:val="20"/>
              </w:rPr>
            </w:pPr>
            <w:r w:rsidRPr="00E707F0">
              <w:rPr>
                <w:rFonts w:ascii="Georgia" w:hAnsi="Georgia"/>
                <w:b w:val="0"/>
                <w:bCs w:val="0"/>
                <w:color w:val="000000" w:themeColor="text1"/>
                <w:sz w:val="20"/>
                <w:szCs w:val="20"/>
              </w:rPr>
              <w:t>Web of Science</w:t>
            </w:r>
          </w:p>
        </w:tc>
        <w:tc>
          <w:tcPr>
            <w:tcW w:w="1261" w:type="dxa"/>
          </w:tcPr>
          <w:p w14:paraId="4D2469F0"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121</w:t>
            </w:r>
          </w:p>
        </w:tc>
        <w:tc>
          <w:tcPr>
            <w:tcW w:w="1426" w:type="dxa"/>
          </w:tcPr>
          <w:p w14:paraId="0900F5A8"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176</w:t>
            </w:r>
          </w:p>
        </w:tc>
        <w:tc>
          <w:tcPr>
            <w:tcW w:w="1426" w:type="dxa"/>
          </w:tcPr>
          <w:p w14:paraId="04DCDCDE"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265</w:t>
            </w:r>
          </w:p>
        </w:tc>
        <w:tc>
          <w:tcPr>
            <w:tcW w:w="1427" w:type="dxa"/>
          </w:tcPr>
          <w:p w14:paraId="2811D1EB"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547</w:t>
            </w:r>
          </w:p>
        </w:tc>
        <w:tc>
          <w:tcPr>
            <w:tcW w:w="1427" w:type="dxa"/>
          </w:tcPr>
          <w:p w14:paraId="4EAEF0B9"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766</w:t>
            </w:r>
          </w:p>
        </w:tc>
      </w:tr>
      <w:tr w:rsidR="00E707F0" w:rsidRPr="00E707F0" w14:paraId="5A0AA0C6" w14:textId="77777777" w:rsidTr="00E707F0">
        <w:trPr>
          <w:trHeight w:val="58"/>
          <w:jc w:val="center"/>
        </w:trPr>
        <w:tc>
          <w:tcPr>
            <w:cnfStyle w:val="001000000000" w:firstRow="0" w:lastRow="0" w:firstColumn="1" w:lastColumn="0" w:oddVBand="0" w:evenVBand="0" w:oddHBand="0" w:evenHBand="0" w:firstRowFirstColumn="0" w:firstRowLastColumn="0" w:lastRowFirstColumn="0" w:lastRowLastColumn="0"/>
            <w:tcW w:w="2026" w:type="dxa"/>
          </w:tcPr>
          <w:p w14:paraId="7DAF8EF3" w14:textId="77777777" w:rsidR="008E37A3" w:rsidRPr="00E707F0" w:rsidRDefault="008E37A3" w:rsidP="00E707F0">
            <w:pPr>
              <w:spacing w:after="0" w:line="240" w:lineRule="auto"/>
              <w:rPr>
                <w:rFonts w:ascii="Georgia" w:hAnsi="Georgia"/>
                <w:b w:val="0"/>
                <w:bCs w:val="0"/>
                <w:color w:val="000000" w:themeColor="text1"/>
                <w:sz w:val="20"/>
                <w:szCs w:val="20"/>
              </w:rPr>
            </w:pPr>
            <w:r w:rsidRPr="00E707F0">
              <w:rPr>
                <w:rFonts w:ascii="Georgia" w:hAnsi="Georgia"/>
                <w:b w:val="0"/>
                <w:bCs w:val="0"/>
                <w:color w:val="000000" w:themeColor="text1"/>
                <w:sz w:val="20"/>
                <w:szCs w:val="20"/>
              </w:rPr>
              <w:t>Science Direct</w:t>
            </w:r>
          </w:p>
        </w:tc>
        <w:tc>
          <w:tcPr>
            <w:tcW w:w="1261" w:type="dxa"/>
          </w:tcPr>
          <w:p w14:paraId="530BFE28"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90</w:t>
            </w:r>
          </w:p>
        </w:tc>
        <w:tc>
          <w:tcPr>
            <w:tcW w:w="1426" w:type="dxa"/>
          </w:tcPr>
          <w:p w14:paraId="0E22245E"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192</w:t>
            </w:r>
          </w:p>
        </w:tc>
        <w:tc>
          <w:tcPr>
            <w:tcW w:w="1426" w:type="dxa"/>
          </w:tcPr>
          <w:p w14:paraId="4ED9E9D6"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342</w:t>
            </w:r>
          </w:p>
        </w:tc>
        <w:tc>
          <w:tcPr>
            <w:tcW w:w="1427" w:type="dxa"/>
          </w:tcPr>
          <w:p w14:paraId="18EC9FB8"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590</w:t>
            </w:r>
          </w:p>
        </w:tc>
        <w:tc>
          <w:tcPr>
            <w:tcW w:w="1427" w:type="dxa"/>
          </w:tcPr>
          <w:p w14:paraId="48B81BAD"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1033</w:t>
            </w:r>
          </w:p>
        </w:tc>
      </w:tr>
      <w:tr w:rsidR="00E707F0" w:rsidRPr="00E707F0" w14:paraId="6E0FBD76" w14:textId="77777777" w:rsidTr="00E707F0">
        <w:trPr>
          <w:trHeight w:val="247"/>
          <w:jc w:val="center"/>
        </w:trPr>
        <w:tc>
          <w:tcPr>
            <w:cnfStyle w:val="001000000000" w:firstRow="0" w:lastRow="0" w:firstColumn="1" w:lastColumn="0" w:oddVBand="0" w:evenVBand="0" w:oddHBand="0" w:evenHBand="0" w:firstRowFirstColumn="0" w:firstRowLastColumn="0" w:lastRowFirstColumn="0" w:lastRowLastColumn="0"/>
            <w:tcW w:w="2026" w:type="dxa"/>
          </w:tcPr>
          <w:p w14:paraId="64C6BF78" w14:textId="77777777" w:rsidR="008E37A3" w:rsidRPr="00E707F0" w:rsidRDefault="008E37A3" w:rsidP="00E707F0">
            <w:pPr>
              <w:spacing w:after="0" w:line="240" w:lineRule="auto"/>
              <w:rPr>
                <w:rFonts w:ascii="Georgia" w:hAnsi="Georgia"/>
                <w:b w:val="0"/>
                <w:bCs w:val="0"/>
                <w:color w:val="000000" w:themeColor="text1"/>
                <w:sz w:val="20"/>
                <w:szCs w:val="20"/>
              </w:rPr>
            </w:pPr>
            <w:r w:rsidRPr="00E707F0">
              <w:rPr>
                <w:rFonts w:ascii="Georgia" w:hAnsi="Georgia"/>
                <w:b w:val="0"/>
                <w:bCs w:val="0"/>
                <w:color w:val="000000" w:themeColor="text1"/>
                <w:sz w:val="20"/>
                <w:szCs w:val="20"/>
              </w:rPr>
              <w:t>Springer Link</w:t>
            </w:r>
          </w:p>
        </w:tc>
        <w:tc>
          <w:tcPr>
            <w:tcW w:w="1261" w:type="dxa"/>
          </w:tcPr>
          <w:p w14:paraId="37AC3BE1"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349</w:t>
            </w:r>
          </w:p>
        </w:tc>
        <w:tc>
          <w:tcPr>
            <w:tcW w:w="1426" w:type="dxa"/>
          </w:tcPr>
          <w:p w14:paraId="6582060C"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446</w:t>
            </w:r>
          </w:p>
        </w:tc>
        <w:tc>
          <w:tcPr>
            <w:tcW w:w="1426" w:type="dxa"/>
          </w:tcPr>
          <w:p w14:paraId="482ED5FF"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813</w:t>
            </w:r>
          </w:p>
        </w:tc>
        <w:tc>
          <w:tcPr>
            <w:tcW w:w="1427" w:type="dxa"/>
          </w:tcPr>
          <w:p w14:paraId="47D47718"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1473</w:t>
            </w:r>
          </w:p>
        </w:tc>
        <w:tc>
          <w:tcPr>
            <w:tcW w:w="1427" w:type="dxa"/>
          </w:tcPr>
          <w:p w14:paraId="3CE9BD4B"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2379</w:t>
            </w:r>
          </w:p>
        </w:tc>
      </w:tr>
      <w:tr w:rsidR="00E707F0" w:rsidRPr="00E707F0" w14:paraId="5A670F0C" w14:textId="77777777" w:rsidTr="00E707F0">
        <w:trPr>
          <w:trHeight w:val="58"/>
          <w:jc w:val="center"/>
        </w:trPr>
        <w:tc>
          <w:tcPr>
            <w:cnfStyle w:val="001000000000" w:firstRow="0" w:lastRow="0" w:firstColumn="1" w:lastColumn="0" w:oddVBand="0" w:evenVBand="0" w:oddHBand="0" w:evenHBand="0" w:firstRowFirstColumn="0" w:firstRowLastColumn="0" w:lastRowFirstColumn="0" w:lastRowLastColumn="0"/>
            <w:tcW w:w="2026" w:type="dxa"/>
          </w:tcPr>
          <w:p w14:paraId="6CE44230" w14:textId="77777777" w:rsidR="008E37A3" w:rsidRPr="00E707F0" w:rsidRDefault="008E37A3" w:rsidP="00E707F0">
            <w:pPr>
              <w:spacing w:after="0" w:line="240" w:lineRule="auto"/>
              <w:rPr>
                <w:rFonts w:ascii="Georgia" w:hAnsi="Georgia"/>
                <w:b w:val="0"/>
                <w:bCs w:val="0"/>
                <w:color w:val="000000" w:themeColor="text1"/>
                <w:sz w:val="20"/>
                <w:szCs w:val="20"/>
              </w:rPr>
            </w:pPr>
            <w:r w:rsidRPr="00E707F0">
              <w:rPr>
                <w:rFonts w:ascii="Georgia" w:hAnsi="Georgia"/>
                <w:b w:val="0"/>
                <w:bCs w:val="0"/>
                <w:color w:val="000000" w:themeColor="text1"/>
                <w:sz w:val="20"/>
                <w:szCs w:val="20"/>
              </w:rPr>
              <w:t>Taylor &amp; Francis</w:t>
            </w:r>
          </w:p>
        </w:tc>
        <w:tc>
          <w:tcPr>
            <w:tcW w:w="1261" w:type="dxa"/>
          </w:tcPr>
          <w:p w14:paraId="0BCC220D"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1626</w:t>
            </w:r>
          </w:p>
        </w:tc>
        <w:tc>
          <w:tcPr>
            <w:tcW w:w="1426" w:type="dxa"/>
          </w:tcPr>
          <w:p w14:paraId="314314E1"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1445</w:t>
            </w:r>
          </w:p>
        </w:tc>
        <w:tc>
          <w:tcPr>
            <w:tcW w:w="1426" w:type="dxa"/>
          </w:tcPr>
          <w:p w14:paraId="7584D281"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1212</w:t>
            </w:r>
          </w:p>
        </w:tc>
        <w:tc>
          <w:tcPr>
            <w:tcW w:w="1427" w:type="dxa"/>
          </w:tcPr>
          <w:p w14:paraId="038C85BE"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916</w:t>
            </w:r>
          </w:p>
        </w:tc>
        <w:tc>
          <w:tcPr>
            <w:tcW w:w="1427" w:type="dxa"/>
          </w:tcPr>
          <w:p w14:paraId="40F38CA3"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525</w:t>
            </w:r>
          </w:p>
        </w:tc>
      </w:tr>
      <w:tr w:rsidR="00E707F0" w:rsidRPr="00E707F0" w14:paraId="13DE0517" w14:textId="77777777" w:rsidTr="00E707F0">
        <w:trPr>
          <w:trHeight w:val="58"/>
          <w:jc w:val="center"/>
        </w:trPr>
        <w:tc>
          <w:tcPr>
            <w:cnfStyle w:val="001000000000" w:firstRow="0" w:lastRow="0" w:firstColumn="1" w:lastColumn="0" w:oddVBand="0" w:evenVBand="0" w:oddHBand="0" w:evenHBand="0" w:firstRowFirstColumn="0" w:firstRowLastColumn="0" w:lastRowFirstColumn="0" w:lastRowLastColumn="0"/>
            <w:tcW w:w="2026" w:type="dxa"/>
          </w:tcPr>
          <w:p w14:paraId="3EB9244A" w14:textId="77777777" w:rsidR="008E37A3" w:rsidRPr="00E707F0" w:rsidRDefault="008E37A3" w:rsidP="00E707F0">
            <w:pPr>
              <w:spacing w:after="0" w:line="240" w:lineRule="auto"/>
              <w:rPr>
                <w:rFonts w:ascii="Georgia" w:hAnsi="Georgia"/>
                <w:b w:val="0"/>
                <w:bCs w:val="0"/>
                <w:color w:val="000000" w:themeColor="text1"/>
                <w:sz w:val="20"/>
                <w:szCs w:val="20"/>
              </w:rPr>
            </w:pPr>
            <w:r w:rsidRPr="00E707F0">
              <w:rPr>
                <w:rFonts w:ascii="Georgia" w:hAnsi="Georgia"/>
                <w:b w:val="0"/>
                <w:bCs w:val="0"/>
                <w:color w:val="000000" w:themeColor="text1"/>
                <w:sz w:val="20"/>
                <w:szCs w:val="20"/>
              </w:rPr>
              <w:t>Cambridge Core</w:t>
            </w:r>
          </w:p>
        </w:tc>
        <w:tc>
          <w:tcPr>
            <w:tcW w:w="1261" w:type="dxa"/>
          </w:tcPr>
          <w:p w14:paraId="5FB1F80F"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1818</w:t>
            </w:r>
          </w:p>
        </w:tc>
        <w:tc>
          <w:tcPr>
            <w:tcW w:w="1426" w:type="dxa"/>
          </w:tcPr>
          <w:p w14:paraId="498634BC"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1906</w:t>
            </w:r>
          </w:p>
        </w:tc>
        <w:tc>
          <w:tcPr>
            <w:tcW w:w="1426" w:type="dxa"/>
          </w:tcPr>
          <w:p w14:paraId="3CA1EF9B"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1640</w:t>
            </w:r>
          </w:p>
        </w:tc>
        <w:tc>
          <w:tcPr>
            <w:tcW w:w="1427" w:type="dxa"/>
          </w:tcPr>
          <w:p w14:paraId="2B71E8F3"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1794</w:t>
            </w:r>
          </w:p>
        </w:tc>
        <w:tc>
          <w:tcPr>
            <w:tcW w:w="1427" w:type="dxa"/>
          </w:tcPr>
          <w:p w14:paraId="4C026B5F"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1964</w:t>
            </w:r>
          </w:p>
        </w:tc>
      </w:tr>
      <w:tr w:rsidR="00E707F0" w:rsidRPr="00E707F0" w14:paraId="23B7EDA4" w14:textId="77777777" w:rsidTr="00E707F0">
        <w:trPr>
          <w:trHeight w:val="247"/>
          <w:jc w:val="center"/>
        </w:trPr>
        <w:tc>
          <w:tcPr>
            <w:cnfStyle w:val="001000000000" w:firstRow="0" w:lastRow="0" w:firstColumn="1" w:lastColumn="0" w:oddVBand="0" w:evenVBand="0" w:oddHBand="0" w:evenHBand="0" w:firstRowFirstColumn="0" w:firstRowLastColumn="0" w:lastRowFirstColumn="0" w:lastRowLastColumn="0"/>
            <w:tcW w:w="2026" w:type="dxa"/>
          </w:tcPr>
          <w:p w14:paraId="4775F435" w14:textId="77777777" w:rsidR="008E37A3" w:rsidRPr="00E707F0" w:rsidRDefault="008E37A3" w:rsidP="00E707F0">
            <w:pPr>
              <w:spacing w:after="0" w:line="240" w:lineRule="auto"/>
              <w:rPr>
                <w:rFonts w:ascii="Georgia" w:hAnsi="Georgia"/>
                <w:b w:val="0"/>
                <w:bCs w:val="0"/>
                <w:color w:val="000000" w:themeColor="text1"/>
                <w:sz w:val="20"/>
                <w:szCs w:val="20"/>
              </w:rPr>
            </w:pPr>
            <w:r w:rsidRPr="00E707F0">
              <w:rPr>
                <w:rFonts w:ascii="Georgia" w:hAnsi="Georgia"/>
                <w:b w:val="0"/>
                <w:bCs w:val="0"/>
                <w:color w:val="000000" w:themeColor="text1"/>
                <w:sz w:val="20"/>
                <w:szCs w:val="20"/>
              </w:rPr>
              <w:t>EBSCO</w:t>
            </w:r>
          </w:p>
        </w:tc>
        <w:tc>
          <w:tcPr>
            <w:tcW w:w="1261" w:type="dxa"/>
          </w:tcPr>
          <w:p w14:paraId="13267F95"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53</w:t>
            </w:r>
          </w:p>
        </w:tc>
        <w:tc>
          <w:tcPr>
            <w:tcW w:w="1426" w:type="dxa"/>
          </w:tcPr>
          <w:p w14:paraId="46F920F0"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77</w:t>
            </w:r>
          </w:p>
        </w:tc>
        <w:tc>
          <w:tcPr>
            <w:tcW w:w="1426" w:type="dxa"/>
          </w:tcPr>
          <w:p w14:paraId="5E717EA9"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163</w:t>
            </w:r>
          </w:p>
        </w:tc>
        <w:tc>
          <w:tcPr>
            <w:tcW w:w="1427" w:type="dxa"/>
          </w:tcPr>
          <w:p w14:paraId="431513AD"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167</w:t>
            </w:r>
          </w:p>
        </w:tc>
        <w:tc>
          <w:tcPr>
            <w:tcW w:w="1427" w:type="dxa"/>
          </w:tcPr>
          <w:p w14:paraId="1AA0BE79"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179</w:t>
            </w:r>
          </w:p>
        </w:tc>
      </w:tr>
      <w:tr w:rsidR="00E707F0" w:rsidRPr="00E707F0" w14:paraId="431D92D4" w14:textId="77777777" w:rsidTr="00E707F0">
        <w:trPr>
          <w:trHeight w:val="58"/>
          <w:jc w:val="center"/>
        </w:trPr>
        <w:tc>
          <w:tcPr>
            <w:cnfStyle w:val="001000000000" w:firstRow="0" w:lastRow="0" w:firstColumn="1" w:lastColumn="0" w:oddVBand="0" w:evenVBand="0" w:oddHBand="0" w:evenHBand="0" w:firstRowFirstColumn="0" w:firstRowLastColumn="0" w:lastRowFirstColumn="0" w:lastRowLastColumn="0"/>
            <w:tcW w:w="2026" w:type="dxa"/>
          </w:tcPr>
          <w:p w14:paraId="62248391" w14:textId="77777777" w:rsidR="008E37A3" w:rsidRPr="00E707F0" w:rsidRDefault="008E37A3" w:rsidP="00E707F0">
            <w:pPr>
              <w:spacing w:after="0" w:line="240" w:lineRule="auto"/>
              <w:rPr>
                <w:rFonts w:ascii="Georgia" w:hAnsi="Georgia"/>
                <w:b w:val="0"/>
                <w:bCs w:val="0"/>
                <w:color w:val="000000" w:themeColor="text1"/>
                <w:sz w:val="20"/>
                <w:szCs w:val="20"/>
              </w:rPr>
            </w:pPr>
            <w:r w:rsidRPr="00E707F0">
              <w:rPr>
                <w:rFonts w:ascii="Georgia" w:hAnsi="Georgia"/>
                <w:b w:val="0"/>
                <w:bCs w:val="0"/>
                <w:color w:val="000000" w:themeColor="text1"/>
                <w:sz w:val="20"/>
                <w:szCs w:val="20"/>
              </w:rPr>
              <w:t>Emerald Online</w:t>
            </w:r>
          </w:p>
        </w:tc>
        <w:tc>
          <w:tcPr>
            <w:tcW w:w="1261" w:type="dxa"/>
          </w:tcPr>
          <w:p w14:paraId="2DD84D75"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138</w:t>
            </w:r>
          </w:p>
        </w:tc>
        <w:tc>
          <w:tcPr>
            <w:tcW w:w="1426" w:type="dxa"/>
          </w:tcPr>
          <w:p w14:paraId="5E205E0A"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165</w:t>
            </w:r>
          </w:p>
        </w:tc>
        <w:tc>
          <w:tcPr>
            <w:tcW w:w="1426" w:type="dxa"/>
          </w:tcPr>
          <w:p w14:paraId="1AC48BFD"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271</w:t>
            </w:r>
          </w:p>
        </w:tc>
        <w:tc>
          <w:tcPr>
            <w:tcW w:w="1427" w:type="dxa"/>
          </w:tcPr>
          <w:p w14:paraId="013B2109"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480</w:t>
            </w:r>
          </w:p>
        </w:tc>
        <w:tc>
          <w:tcPr>
            <w:tcW w:w="1427" w:type="dxa"/>
          </w:tcPr>
          <w:p w14:paraId="546F0B9E"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965</w:t>
            </w:r>
          </w:p>
        </w:tc>
      </w:tr>
      <w:tr w:rsidR="00E707F0" w:rsidRPr="00E707F0" w14:paraId="2CF95620" w14:textId="77777777" w:rsidTr="00E707F0">
        <w:trPr>
          <w:trHeight w:val="247"/>
          <w:jc w:val="center"/>
        </w:trPr>
        <w:tc>
          <w:tcPr>
            <w:cnfStyle w:val="001000000000" w:firstRow="0" w:lastRow="0" w:firstColumn="1" w:lastColumn="0" w:oddVBand="0" w:evenVBand="0" w:oddHBand="0" w:evenHBand="0" w:firstRowFirstColumn="0" w:firstRowLastColumn="0" w:lastRowFirstColumn="0" w:lastRowLastColumn="0"/>
            <w:tcW w:w="2026" w:type="dxa"/>
          </w:tcPr>
          <w:p w14:paraId="60969991" w14:textId="77777777" w:rsidR="008E37A3" w:rsidRPr="00E707F0" w:rsidRDefault="008E37A3" w:rsidP="00E707F0">
            <w:pPr>
              <w:spacing w:after="0" w:line="240" w:lineRule="auto"/>
              <w:rPr>
                <w:rFonts w:ascii="Georgia" w:hAnsi="Georgia"/>
                <w:b w:val="0"/>
                <w:bCs w:val="0"/>
                <w:color w:val="000000" w:themeColor="text1"/>
                <w:sz w:val="20"/>
                <w:szCs w:val="20"/>
              </w:rPr>
            </w:pPr>
            <w:r w:rsidRPr="00E707F0">
              <w:rPr>
                <w:rFonts w:ascii="Georgia" w:hAnsi="Georgia"/>
                <w:b w:val="0"/>
                <w:bCs w:val="0"/>
                <w:color w:val="000000" w:themeColor="text1"/>
                <w:sz w:val="20"/>
                <w:szCs w:val="20"/>
              </w:rPr>
              <w:t>JSTOR</w:t>
            </w:r>
          </w:p>
        </w:tc>
        <w:tc>
          <w:tcPr>
            <w:tcW w:w="1261" w:type="dxa"/>
          </w:tcPr>
          <w:p w14:paraId="0C8E459E"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97</w:t>
            </w:r>
          </w:p>
        </w:tc>
        <w:tc>
          <w:tcPr>
            <w:tcW w:w="1426" w:type="dxa"/>
          </w:tcPr>
          <w:p w14:paraId="49116E21"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130</w:t>
            </w:r>
          </w:p>
        </w:tc>
        <w:tc>
          <w:tcPr>
            <w:tcW w:w="1426" w:type="dxa"/>
          </w:tcPr>
          <w:p w14:paraId="3CBAB683"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74</w:t>
            </w:r>
          </w:p>
        </w:tc>
        <w:tc>
          <w:tcPr>
            <w:tcW w:w="1427" w:type="dxa"/>
          </w:tcPr>
          <w:p w14:paraId="61F8A737"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76</w:t>
            </w:r>
          </w:p>
        </w:tc>
        <w:tc>
          <w:tcPr>
            <w:tcW w:w="1427" w:type="dxa"/>
          </w:tcPr>
          <w:p w14:paraId="1B33CAD7"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102</w:t>
            </w:r>
          </w:p>
        </w:tc>
      </w:tr>
      <w:tr w:rsidR="00E707F0" w:rsidRPr="00E707F0" w14:paraId="14705E3C" w14:textId="77777777" w:rsidTr="00E707F0">
        <w:trPr>
          <w:trHeight w:val="247"/>
          <w:jc w:val="center"/>
        </w:trPr>
        <w:tc>
          <w:tcPr>
            <w:cnfStyle w:val="001000000000" w:firstRow="0" w:lastRow="0" w:firstColumn="1" w:lastColumn="0" w:oddVBand="0" w:evenVBand="0" w:oddHBand="0" w:evenHBand="0" w:firstRowFirstColumn="0" w:firstRowLastColumn="0" w:lastRowFirstColumn="0" w:lastRowLastColumn="0"/>
            <w:tcW w:w="2026" w:type="dxa"/>
          </w:tcPr>
          <w:p w14:paraId="7469D00E" w14:textId="77777777" w:rsidR="008E37A3" w:rsidRPr="00E707F0" w:rsidRDefault="008E37A3" w:rsidP="00E707F0">
            <w:pPr>
              <w:spacing w:after="0" w:line="240" w:lineRule="auto"/>
              <w:rPr>
                <w:rFonts w:ascii="Georgia" w:hAnsi="Georgia"/>
                <w:b w:val="0"/>
                <w:bCs w:val="0"/>
                <w:color w:val="000000" w:themeColor="text1"/>
                <w:sz w:val="20"/>
                <w:szCs w:val="20"/>
              </w:rPr>
            </w:pPr>
            <w:r w:rsidRPr="00E707F0">
              <w:rPr>
                <w:rFonts w:ascii="Georgia" w:hAnsi="Georgia"/>
                <w:b w:val="0"/>
                <w:bCs w:val="0"/>
                <w:color w:val="000000" w:themeColor="text1"/>
                <w:sz w:val="20"/>
                <w:szCs w:val="20"/>
              </w:rPr>
              <w:t>Wiley Online</w:t>
            </w:r>
          </w:p>
        </w:tc>
        <w:tc>
          <w:tcPr>
            <w:tcW w:w="1261" w:type="dxa"/>
          </w:tcPr>
          <w:p w14:paraId="1A5F9F66"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216</w:t>
            </w:r>
          </w:p>
        </w:tc>
        <w:tc>
          <w:tcPr>
            <w:tcW w:w="1426" w:type="dxa"/>
          </w:tcPr>
          <w:p w14:paraId="6172DEB3"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303</w:t>
            </w:r>
          </w:p>
        </w:tc>
        <w:tc>
          <w:tcPr>
            <w:tcW w:w="1426" w:type="dxa"/>
          </w:tcPr>
          <w:p w14:paraId="0ED66048"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345</w:t>
            </w:r>
          </w:p>
        </w:tc>
        <w:tc>
          <w:tcPr>
            <w:tcW w:w="1427" w:type="dxa"/>
          </w:tcPr>
          <w:p w14:paraId="5138692C"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543</w:t>
            </w:r>
          </w:p>
        </w:tc>
        <w:tc>
          <w:tcPr>
            <w:tcW w:w="1427" w:type="dxa"/>
          </w:tcPr>
          <w:p w14:paraId="7C278D9B"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806</w:t>
            </w:r>
          </w:p>
        </w:tc>
      </w:tr>
      <w:tr w:rsidR="00E707F0" w:rsidRPr="00E707F0" w14:paraId="2CFFFE26" w14:textId="77777777" w:rsidTr="00E707F0">
        <w:trPr>
          <w:trHeight w:val="247"/>
          <w:jc w:val="center"/>
        </w:trPr>
        <w:tc>
          <w:tcPr>
            <w:cnfStyle w:val="001000000000" w:firstRow="0" w:lastRow="0" w:firstColumn="1" w:lastColumn="0" w:oddVBand="0" w:evenVBand="0" w:oddHBand="0" w:evenHBand="0" w:firstRowFirstColumn="0" w:firstRowLastColumn="0" w:lastRowFirstColumn="0" w:lastRowLastColumn="0"/>
            <w:tcW w:w="2026" w:type="dxa"/>
          </w:tcPr>
          <w:p w14:paraId="35DBDF11" w14:textId="77777777" w:rsidR="008E37A3" w:rsidRPr="00E707F0" w:rsidRDefault="008E37A3" w:rsidP="00E707F0">
            <w:pPr>
              <w:spacing w:after="0" w:line="240" w:lineRule="auto"/>
              <w:rPr>
                <w:rFonts w:ascii="Georgia" w:hAnsi="Georgia"/>
                <w:b w:val="0"/>
                <w:bCs w:val="0"/>
                <w:color w:val="000000" w:themeColor="text1"/>
                <w:sz w:val="20"/>
                <w:szCs w:val="20"/>
              </w:rPr>
            </w:pPr>
            <w:r w:rsidRPr="00E707F0">
              <w:rPr>
                <w:rFonts w:ascii="Georgia" w:hAnsi="Georgia"/>
                <w:b w:val="0"/>
                <w:bCs w:val="0"/>
                <w:color w:val="000000" w:themeColor="text1"/>
                <w:sz w:val="20"/>
                <w:szCs w:val="20"/>
              </w:rPr>
              <w:t>Dimensions.ai</w:t>
            </w:r>
          </w:p>
        </w:tc>
        <w:tc>
          <w:tcPr>
            <w:tcW w:w="1261" w:type="dxa"/>
          </w:tcPr>
          <w:p w14:paraId="4F095CA7"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2288</w:t>
            </w:r>
          </w:p>
        </w:tc>
        <w:tc>
          <w:tcPr>
            <w:tcW w:w="1426" w:type="dxa"/>
          </w:tcPr>
          <w:p w14:paraId="35344577"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4030</w:t>
            </w:r>
          </w:p>
        </w:tc>
        <w:tc>
          <w:tcPr>
            <w:tcW w:w="1426" w:type="dxa"/>
          </w:tcPr>
          <w:p w14:paraId="3159B50E"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5030</w:t>
            </w:r>
          </w:p>
        </w:tc>
        <w:tc>
          <w:tcPr>
            <w:tcW w:w="1427" w:type="dxa"/>
          </w:tcPr>
          <w:p w14:paraId="5983B738"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7868</w:t>
            </w:r>
          </w:p>
        </w:tc>
        <w:tc>
          <w:tcPr>
            <w:tcW w:w="1427" w:type="dxa"/>
          </w:tcPr>
          <w:p w14:paraId="2D18D715"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13842</w:t>
            </w:r>
          </w:p>
        </w:tc>
      </w:tr>
      <w:tr w:rsidR="00E707F0" w:rsidRPr="00E707F0" w14:paraId="7709E01E" w14:textId="77777777" w:rsidTr="00E707F0">
        <w:trPr>
          <w:trHeight w:val="58"/>
          <w:jc w:val="center"/>
        </w:trPr>
        <w:tc>
          <w:tcPr>
            <w:cnfStyle w:val="001000000000" w:firstRow="0" w:lastRow="0" w:firstColumn="1" w:lastColumn="0" w:oddVBand="0" w:evenVBand="0" w:oddHBand="0" w:evenHBand="0" w:firstRowFirstColumn="0" w:firstRowLastColumn="0" w:lastRowFirstColumn="0" w:lastRowLastColumn="0"/>
            <w:tcW w:w="2026" w:type="dxa"/>
          </w:tcPr>
          <w:p w14:paraId="73C5B026" w14:textId="77777777" w:rsidR="008E37A3" w:rsidRPr="00E707F0" w:rsidRDefault="008E37A3" w:rsidP="00E707F0">
            <w:pPr>
              <w:spacing w:after="0" w:line="240" w:lineRule="auto"/>
              <w:rPr>
                <w:rFonts w:ascii="Georgia" w:hAnsi="Georgia"/>
                <w:b w:val="0"/>
                <w:bCs w:val="0"/>
                <w:color w:val="000000" w:themeColor="text1"/>
                <w:sz w:val="20"/>
                <w:szCs w:val="20"/>
              </w:rPr>
            </w:pPr>
            <w:r w:rsidRPr="00E707F0">
              <w:rPr>
                <w:rFonts w:ascii="Georgia" w:hAnsi="Georgia"/>
                <w:b w:val="0"/>
                <w:bCs w:val="0"/>
                <w:color w:val="000000" w:themeColor="text1"/>
                <w:sz w:val="20"/>
                <w:szCs w:val="20"/>
              </w:rPr>
              <w:t>Google Scholar</w:t>
            </w:r>
          </w:p>
        </w:tc>
        <w:tc>
          <w:tcPr>
            <w:tcW w:w="1261" w:type="dxa"/>
          </w:tcPr>
          <w:p w14:paraId="0203926D"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4850</w:t>
            </w:r>
          </w:p>
        </w:tc>
        <w:tc>
          <w:tcPr>
            <w:tcW w:w="1426" w:type="dxa"/>
          </w:tcPr>
          <w:p w14:paraId="5E15135F"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7280</w:t>
            </w:r>
          </w:p>
        </w:tc>
        <w:tc>
          <w:tcPr>
            <w:tcW w:w="1426" w:type="dxa"/>
          </w:tcPr>
          <w:p w14:paraId="6995110F"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11100</w:t>
            </w:r>
          </w:p>
        </w:tc>
        <w:tc>
          <w:tcPr>
            <w:tcW w:w="1427" w:type="dxa"/>
          </w:tcPr>
          <w:p w14:paraId="16BC4C5C"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16300</w:t>
            </w:r>
          </w:p>
        </w:tc>
        <w:tc>
          <w:tcPr>
            <w:tcW w:w="1427" w:type="dxa"/>
          </w:tcPr>
          <w:p w14:paraId="50CA2C14" w14:textId="77777777" w:rsidR="008E37A3" w:rsidRPr="00E707F0" w:rsidRDefault="008E37A3" w:rsidP="00E707F0">
            <w:pPr>
              <w:spacing w:after="0" w:line="240" w:lineRule="auto"/>
              <w:cnfStyle w:val="000000000000" w:firstRow="0" w:lastRow="0" w:firstColumn="0" w:lastColumn="0" w:oddVBand="0" w:evenVBand="0" w:oddHBand="0" w:evenHBand="0" w:firstRowFirstColumn="0" w:firstRowLastColumn="0" w:lastRowFirstColumn="0" w:lastRowLastColumn="0"/>
              <w:rPr>
                <w:rFonts w:ascii="Georgia" w:hAnsi="Georgia"/>
                <w:color w:val="000000" w:themeColor="text1"/>
                <w:sz w:val="20"/>
                <w:szCs w:val="20"/>
              </w:rPr>
            </w:pPr>
            <w:r w:rsidRPr="00E707F0">
              <w:rPr>
                <w:rFonts w:ascii="Georgia" w:hAnsi="Georgia"/>
                <w:color w:val="000000" w:themeColor="text1"/>
                <w:sz w:val="20"/>
                <w:szCs w:val="20"/>
              </w:rPr>
              <w:t>24600</w:t>
            </w:r>
          </w:p>
        </w:tc>
      </w:tr>
    </w:tbl>
    <w:p w14:paraId="50E7CB78" w14:textId="77777777" w:rsidR="008E37A3" w:rsidRPr="00E707F0" w:rsidRDefault="008E37A3" w:rsidP="00E707F0">
      <w:pPr>
        <w:spacing w:after="0" w:line="240" w:lineRule="auto"/>
        <w:jc w:val="center"/>
        <w:rPr>
          <w:rFonts w:ascii="Georgia" w:hAnsi="Georgia"/>
          <w:b/>
          <w:bCs/>
          <w:color w:val="000000" w:themeColor="text1"/>
          <w:sz w:val="20"/>
          <w:szCs w:val="20"/>
        </w:rPr>
      </w:pPr>
      <w:r w:rsidRPr="00E707F0">
        <w:rPr>
          <w:rFonts w:ascii="Georgia" w:hAnsi="Georgia"/>
          <w:b/>
          <w:bCs/>
          <w:color w:val="000000" w:themeColor="text1"/>
          <w:sz w:val="20"/>
          <w:szCs w:val="20"/>
        </w:rPr>
        <w:t>Source: Author compilation from several databases</w:t>
      </w:r>
    </w:p>
    <w:p w14:paraId="3516204C" w14:textId="77777777" w:rsidR="00E707F0" w:rsidRPr="00E707F0" w:rsidRDefault="00E707F0" w:rsidP="00E707F0">
      <w:pPr>
        <w:spacing w:after="0" w:line="240" w:lineRule="auto"/>
        <w:rPr>
          <w:rFonts w:ascii="Georgia" w:hAnsi="Georgia"/>
          <w:color w:val="000000" w:themeColor="text1"/>
          <w:sz w:val="20"/>
          <w:szCs w:val="20"/>
        </w:rPr>
      </w:pPr>
    </w:p>
    <w:p w14:paraId="67759C13" w14:textId="77777777" w:rsidR="008E37A3" w:rsidRDefault="008E37A3" w:rsidP="00E707F0">
      <w:pPr>
        <w:spacing w:after="0" w:line="240" w:lineRule="auto"/>
        <w:rPr>
          <w:rFonts w:ascii="Georgia" w:hAnsi="Georgia"/>
          <w:color w:val="000000" w:themeColor="text1"/>
          <w:sz w:val="20"/>
          <w:szCs w:val="20"/>
        </w:rPr>
      </w:pPr>
      <w:r w:rsidRPr="00E707F0">
        <w:rPr>
          <w:rFonts w:ascii="Georgia" w:hAnsi="Georgia"/>
          <w:color w:val="000000" w:themeColor="text1"/>
          <w:sz w:val="20"/>
          <w:szCs w:val="20"/>
        </w:rPr>
        <w:t>Figure 1 clearly shows an increasing trend in published research work on the topic. The top publication types on the topic are Articles, Chapters, Edited Books, and Proceedings.</w:t>
      </w:r>
    </w:p>
    <w:p w14:paraId="6F585DB0" w14:textId="77777777" w:rsidR="00E707F0" w:rsidRPr="00E707F0" w:rsidRDefault="00E707F0" w:rsidP="00E707F0">
      <w:pPr>
        <w:spacing w:after="0" w:line="240" w:lineRule="auto"/>
        <w:rPr>
          <w:rFonts w:ascii="Georgia" w:hAnsi="Georgia"/>
          <w:color w:val="000000" w:themeColor="text1"/>
          <w:sz w:val="20"/>
          <w:szCs w:val="20"/>
        </w:rPr>
      </w:pPr>
    </w:p>
    <w:p w14:paraId="25F16ACF" w14:textId="77777777" w:rsidR="008E37A3" w:rsidRPr="00E707F0" w:rsidRDefault="008E37A3" w:rsidP="00E707F0">
      <w:pPr>
        <w:spacing w:after="0" w:line="240" w:lineRule="auto"/>
        <w:jc w:val="center"/>
        <w:rPr>
          <w:rFonts w:ascii="Georgia" w:hAnsi="Georgia"/>
          <w:b/>
          <w:bCs/>
          <w:color w:val="000000" w:themeColor="text1"/>
          <w:sz w:val="20"/>
          <w:szCs w:val="20"/>
        </w:rPr>
      </w:pPr>
      <w:r w:rsidRPr="00E707F0">
        <w:rPr>
          <w:rFonts w:ascii="Georgia" w:hAnsi="Georgia"/>
          <w:b/>
          <w:bCs/>
          <w:color w:val="000000" w:themeColor="text1"/>
          <w:sz w:val="20"/>
          <w:szCs w:val="20"/>
        </w:rPr>
        <w:t xml:space="preserve">Figure </w:t>
      </w:r>
      <w:proofErr w:type="gramStart"/>
      <w:r w:rsidRPr="00E707F0">
        <w:rPr>
          <w:rFonts w:ascii="Georgia" w:hAnsi="Georgia"/>
          <w:b/>
          <w:bCs/>
          <w:color w:val="000000" w:themeColor="text1"/>
          <w:sz w:val="20"/>
          <w:szCs w:val="20"/>
        </w:rPr>
        <w:t>1.</w:t>
      </w:r>
      <w:r w:rsidRPr="00E707F0">
        <w:rPr>
          <w:rFonts w:ascii="Georgia" w:hAnsi="Georgia"/>
          <w:color w:val="000000" w:themeColor="text1"/>
          <w:sz w:val="20"/>
          <w:szCs w:val="20"/>
        </w:rPr>
        <w:t>Publications</w:t>
      </w:r>
      <w:proofErr w:type="gramEnd"/>
      <w:r w:rsidRPr="00E707F0">
        <w:rPr>
          <w:rFonts w:ascii="Georgia" w:hAnsi="Georgia"/>
          <w:color w:val="000000" w:themeColor="text1"/>
          <w:sz w:val="20"/>
          <w:szCs w:val="20"/>
        </w:rPr>
        <w:t xml:space="preserve"> trend on "Corporate Governance AND ESG"</w:t>
      </w:r>
    </w:p>
    <w:p w14:paraId="399B3BE0" w14:textId="77777777" w:rsidR="008E37A3" w:rsidRPr="00E707F0" w:rsidRDefault="008E37A3" w:rsidP="00E707F0">
      <w:pPr>
        <w:spacing w:after="0" w:line="240" w:lineRule="auto"/>
        <w:jc w:val="center"/>
        <w:rPr>
          <w:rFonts w:ascii="Georgia" w:hAnsi="Georgia"/>
          <w:color w:val="000000" w:themeColor="text1"/>
          <w:sz w:val="20"/>
          <w:szCs w:val="20"/>
        </w:rPr>
      </w:pPr>
      <w:r w:rsidRPr="00E707F0">
        <w:rPr>
          <w:rFonts w:ascii="Georgia" w:hAnsi="Georgia"/>
          <w:noProof/>
          <w:color w:val="000000" w:themeColor="text1"/>
          <w:sz w:val="20"/>
          <w:szCs w:val="20"/>
          <w:lang w:val="en-GB" w:eastAsia="en-GB"/>
        </w:rPr>
        <w:drawing>
          <wp:inline distT="0" distB="0" distL="0" distR="0" wp14:anchorId="3D175EAD" wp14:editId="2B014EC4">
            <wp:extent cx="4400271" cy="2244090"/>
            <wp:effectExtent l="19050" t="1905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6741" cy="2252490"/>
                    </a:xfrm>
                    <a:prstGeom prst="rect">
                      <a:avLst/>
                    </a:prstGeom>
                    <a:noFill/>
                    <a:ln>
                      <a:solidFill>
                        <a:schemeClr val="tx1"/>
                      </a:solidFill>
                    </a:ln>
                  </pic:spPr>
                </pic:pic>
              </a:graphicData>
            </a:graphic>
          </wp:inline>
        </w:drawing>
      </w:r>
    </w:p>
    <w:p w14:paraId="1354CE74" w14:textId="77777777" w:rsidR="008E37A3" w:rsidRDefault="008E37A3" w:rsidP="00E707F0">
      <w:pPr>
        <w:spacing w:after="0" w:line="240" w:lineRule="auto"/>
        <w:jc w:val="center"/>
        <w:rPr>
          <w:rFonts w:ascii="Georgia" w:hAnsi="Georgia"/>
          <w:color w:val="000000" w:themeColor="text1"/>
          <w:sz w:val="20"/>
          <w:szCs w:val="20"/>
        </w:rPr>
      </w:pPr>
      <w:r w:rsidRPr="00E707F0">
        <w:rPr>
          <w:rFonts w:ascii="Georgia" w:hAnsi="Georgia"/>
          <w:b/>
          <w:bCs/>
          <w:color w:val="000000" w:themeColor="text1"/>
          <w:sz w:val="20"/>
          <w:szCs w:val="20"/>
        </w:rPr>
        <w:t>Source</w:t>
      </w:r>
      <w:r w:rsidRPr="00E707F0">
        <w:rPr>
          <w:rFonts w:ascii="Georgia" w:hAnsi="Georgia"/>
          <w:color w:val="000000" w:themeColor="text1"/>
          <w:sz w:val="20"/>
          <w:szCs w:val="20"/>
        </w:rPr>
        <w:t>: Dimensions.ai; Period: 2000 to 2023</w:t>
      </w:r>
    </w:p>
    <w:p w14:paraId="5F1DAD31" w14:textId="77777777" w:rsidR="00E707F0" w:rsidRPr="00E707F0" w:rsidRDefault="00E707F0" w:rsidP="00E707F0">
      <w:pPr>
        <w:spacing w:after="0" w:line="240" w:lineRule="auto"/>
        <w:rPr>
          <w:rFonts w:ascii="Georgia" w:hAnsi="Georgia"/>
          <w:color w:val="000000" w:themeColor="text1"/>
          <w:sz w:val="20"/>
          <w:szCs w:val="20"/>
        </w:rPr>
      </w:pPr>
    </w:p>
    <w:p w14:paraId="3780F5F5" w14:textId="77777777" w:rsidR="008E37A3" w:rsidRDefault="008E37A3" w:rsidP="003D7AE4">
      <w:pPr>
        <w:pStyle w:val="Heading1"/>
        <w:spacing w:after="0" w:line="240" w:lineRule="auto"/>
        <w:jc w:val="center"/>
        <w:rPr>
          <w:rFonts w:ascii="Georgia" w:hAnsi="Georgia"/>
          <w:color w:val="2C336A"/>
          <w:sz w:val="20"/>
          <w:szCs w:val="20"/>
        </w:rPr>
      </w:pPr>
      <w:r w:rsidRPr="00E707F0">
        <w:rPr>
          <w:rFonts w:ascii="Georgia" w:hAnsi="Georgia"/>
          <w:color w:val="2C336A"/>
          <w:sz w:val="20"/>
          <w:szCs w:val="20"/>
        </w:rPr>
        <w:t>Objectives of the study</w:t>
      </w:r>
    </w:p>
    <w:p w14:paraId="252BB770" w14:textId="77777777" w:rsidR="003D7AE4" w:rsidRPr="003D7AE4" w:rsidRDefault="003D7AE4" w:rsidP="006B0FDD">
      <w:pPr>
        <w:spacing w:after="0"/>
      </w:pPr>
    </w:p>
    <w:p w14:paraId="69688C39" w14:textId="77777777" w:rsidR="008E37A3" w:rsidRDefault="008E37A3" w:rsidP="00E707F0">
      <w:pPr>
        <w:spacing w:after="0" w:line="240" w:lineRule="auto"/>
        <w:rPr>
          <w:rFonts w:ascii="Georgia" w:hAnsi="Georgia"/>
          <w:color w:val="000000" w:themeColor="text1"/>
          <w:sz w:val="20"/>
          <w:szCs w:val="20"/>
        </w:rPr>
      </w:pPr>
      <w:r w:rsidRPr="00E707F0">
        <w:rPr>
          <w:rFonts w:ascii="Georgia" w:hAnsi="Georgia"/>
          <w:color w:val="000000" w:themeColor="text1"/>
          <w:sz w:val="20"/>
          <w:szCs w:val="20"/>
        </w:rPr>
        <w:t>The objective of this study is to identify the key research themes and theories related to the topic for use by future researchers on the topic.</w:t>
      </w:r>
    </w:p>
    <w:p w14:paraId="57A109C2" w14:textId="77777777" w:rsidR="003D7AE4" w:rsidRPr="003D7AE4" w:rsidRDefault="003D7AE4" w:rsidP="00E707F0">
      <w:pPr>
        <w:spacing w:after="0" w:line="240" w:lineRule="auto"/>
        <w:rPr>
          <w:rFonts w:ascii="Georgia" w:hAnsi="Georgia"/>
          <w:color w:val="2C336A"/>
          <w:sz w:val="20"/>
          <w:szCs w:val="20"/>
        </w:rPr>
      </w:pPr>
    </w:p>
    <w:p w14:paraId="6AD846D6" w14:textId="77777777" w:rsidR="008E37A3" w:rsidRPr="003D7AE4" w:rsidRDefault="008E37A3" w:rsidP="00E707F0">
      <w:pPr>
        <w:pStyle w:val="Heading1"/>
        <w:spacing w:after="0" w:line="240" w:lineRule="auto"/>
        <w:jc w:val="both"/>
        <w:rPr>
          <w:rFonts w:ascii="Georgia" w:hAnsi="Georgia"/>
          <w:color w:val="2C336A"/>
          <w:sz w:val="20"/>
          <w:szCs w:val="20"/>
        </w:rPr>
      </w:pPr>
      <w:r w:rsidRPr="003D7AE4">
        <w:rPr>
          <w:rFonts w:ascii="Georgia" w:hAnsi="Georgia"/>
          <w:color w:val="2C336A"/>
          <w:sz w:val="20"/>
          <w:szCs w:val="20"/>
        </w:rPr>
        <w:t>Research Methodology</w:t>
      </w:r>
    </w:p>
    <w:p w14:paraId="062281AC" w14:textId="77777777" w:rsidR="008E37A3" w:rsidRDefault="008E37A3" w:rsidP="00E707F0">
      <w:pPr>
        <w:spacing w:after="0" w:line="240" w:lineRule="auto"/>
        <w:rPr>
          <w:rFonts w:ascii="Georgia" w:hAnsi="Georgia"/>
          <w:color w:val="000000" w:themeColor="text1"/>
          <w:sz w:val="20"/>
          <w:szCs w:val="20"/>
        </w:rPr>
      </w:pPr>
      <w:r w:rsidRPr="00E707F0">
        <w:rPr>
          <w:rFonts w:ascii="Georgia" w:hAnsi="Georgia"/>
          <w:color w:val="000000" w:themeColor="text1"/>
          <w:sz w:val="20"/>
          <w:szCs w:val="20"/>
        </w:rPr>
        <w:t>The study uses Meta-Synthesis. Using the Meta-synthesis approach of literature review, this research collected systematic search, selection, appraisal, and synthesis of qualitative studies. Meta Synthesis is a decent approach to comprehensively understanding a phenomenon by drawing on multiple studies, offering valuable insights into complex research areas.</w:t>
      </w:r>
    </w:p>
    <w:p w14:paraId="1E1CB7CF" w14:textId="77777777" w:rsidR="003D7AE4" w:rsidRPr="00E707F0" w:rsidRDefault="003D7AE4" w:rsidP="00E707F0">
      <w:pPr>
        <w:spacing w:after="0" w:line="240" w:lineRule="auto"/>
        <w:rPr>
          <w:rFonts w:ascii="Georgia" w:hAnsi="Georgia"/>
          <w:color w:val="000000" w:themeColor="text1"/>
          <w:sz w:val="20"/>
          <w:szCs w:val="20"/>
        </w:rPr>
      </w:pPr>
    </w:p>
    <w:p w14:paraId="74D555C2" w14:textId="77777777" w:rsidR="008E37A3" w:rsidRDefault="008E37A3" w:rsidP="003D7AE4">
      <w:pPr>
        <w:pStyle w:val="Heading1"/>
        <w:spacing w:after="0" w:line="240" w:lineRule="auto"/>
        <w:jc w:val="center"/>
        <w:rPr>
          <w:rFonts w:ascii="Georgia" w:hAnsi="Georgia"/>
          <w:color w:val="2C336A"/>
          <w:sz w:val="20"/>
          <w:szCs w:val="20"/>
        </w:rPr>
      </w:pPr>
      <w:r w:rsidRPr="003D7AE4">
        <w:rPr>
          <w:rFonts w:ascii="Georgia" w:hAnsi="Georgia"/>
          <w:color w:val="2C336A"/>
          <w:sz w:val="20"/>
          <w:szCs w:val="20"/>
        </w:rPr>
        <w:t>Results and Discussion</w:t>
      </w:r>
    </w:p>
    <w:p w14:paraId="5CF2EC7C" w14:textId="77777777" w:rsidR="003D7AE4" w:rsidRPr="003D7AE4" w:rsidRDefault="003D7AE4" w:rsidP="003D7AE4">
      <w:pPr>
        <w:spacing w:after="0" w:line="240" w:lineRule="auto"/>
      </w:pPr>
    </w:p>
    <w:p w14:paraId="3747EF1C" w14:textId="77777777" w:rsidR="008E37A3" w:rsidRPr="003D7AE4" w:rsidRDefault="008E37A3" w:rsidP="00E707F0">
      <w:pPr>
        <w:pStyle w:val="Heading2"/>
        <w:spacing w:after="0" w:line="240" w:lineRule="auto"/>
        <w:rPr>
          <w:rFonts w:ascii="Georgia" w:hAnsi="Georgia"/>
          <w:color w:val="2C336A"/>
          <w:sz w:val="20"/>
          <w:szCs w:val="20"/>
        </w:rPr>
      </w:pPr>
      <w:r w:rsidRPr="003D7AE4">
        <w:rPr>
          <w:rFonts w:ascii="Georgia" w:hAnsi="Georgia"/>
          <w:color w:val="2C336A"/>
          <w:sz w:val="20"/>
          <w:szCs w:val="20"/>
        </w:rPr>
        <w:t>Research Themes</w:t>
      </w:r>
    </w:p>
    <w:p w14:paraId="5DACD3EC" w14:textId="77777777" w:rsidR="008E37A3" w:rsidRPr="00E707F0" w:rsidRDefault="008E37A3" w:rsidP="00E707F0">
      <w:pPr>
        <w:spacing w:after="0" w:line="240" w:lineRule="auto"/>
        <w:rPr>
          <w:rFonts w:ascii="Georgia" w:hAnsi="Georgia"/>
          <w:color w:val="000000" w:themeColor="text1"/>
          <w:sz w:val="20"/>
          <w:szCs w:val="20"/>
        </w:rPr>
      </w:pPr>
      <w:r w:rsidRPr="00E707F0">
        <w:rPr>
          <w:rFonts w:ascii="Georgia" w:hAnsi="Georgia"/>
          <w:color w:val="000000" w:themeColor="text1"/>
          <w:sz w:val="20"/>
          <w:szCs w:val="20"/>
        </w:rPr>
        <w:t>The top 10 research themes identified from the study connecting Corporate Governance with ESG are as follows:</w:t>
      </w:r>
    </w:p>
    <w:p w14:paraId="4A4ADAE7" w14:textId="77777777" w:rsidR="008E37A3" w:rsidRPr="00E707F0" w:rsidRDefault="008E37A3" w:rsidP="003D7AE4">
      <w:pPr>
        <w:pStyle w:val="ListParagraph"/>
        <w:numPr>
          <w:ilvl w:val="0"/>
          <w:numId w:val="1"/>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Impact of ESG factors on financial performance</w:t>
      </w:r>
      <w:r w:rsidRPr="003D7AE4">
        <w:rPr>
          <w:rFonts w:ascii="Georgia" w:hAnsi="Georgia"/>
          <w:color w:val="2C336A"/>
          <w:sz w:val="20"/>
          <w:szCs w:val="20"/>
        </w:rPr>
        <w:t>:</w:t>
      </w:r>
      <w:r w:rsidRPr="00E707F0">
        <w:rPr>
          <w:rFonts w:ascii="Georgia" w:hAnsi="Georgia"/>
          <w:color w:val="000000" w:themeColor="text1"/>
          <w:sz w:val="20"/>
          <w:szCs w:val="20"/>
        </w:rPr>
        <w:t xml:space="preserve"> This is one of the most widely researched areas. This theme examines the relationship between ESG performance and financial metrics, such as stock price, investor returns, company profitability, and risk. The concept of ESG and Corporate Finance Performance (CFP) has been studied since the 1970s, with as much as 90% of research acknowledging the non-negative relationship between ESG and CFP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{"citationID":"M2REVRB2","properties":{"formattedCitation":"(Cheng et al., 2014)","plainCitation":"(Cheng et al., 2014)","noteIndex":0},"citationItems":[{"id":5584,"uris":["http://zotero.org/users/6351501/items/8AF2HVUA"],"itemData":{"id":5584,"type":"article-journal","abstract":"We investigate whether superior performance on corporate social responsibility (\n                CSR\n                ) strategies leads to better access to finance. We hypothesize that better access to finance can be attributed to (1) reduced agency costs due to enhanced stakeholder engagement and (2) reduced informational asymmetry due to increased transparency. Using a large cross</w:instrText>
      </w:r>
      <w:r w:rsidRPr="00E707F0">
        <w:rPr>
          <w:color w:val="000000" w:themeColor="text1"/>
          <w:sz w:val="20"/>
          <w:szCs w:val="20"/>
        </w:rPr>
        <w:instrText>‐</w:instrText>
      </w:r>
      <w:r w:rsidRPr="00E707F0">
        <w:rPr>
          <w:rFonts w:ascii="Georgia" w:hAnsi="Georgia"/>
          <w:color w:val="000000" w:themeColor="text1"/>
          <w:sz w:val="20"/>
          <w:szCs w:val="20"/>
        </w:rPr>
        <w:instrText xml:space="preserve">section of firms, we find that firms with better\n                CSR\n                performance face significantly lower capital constraints. We provide evidence that both better stakeholder engagement and transparency around\n                CSR\n                performance are important in reducing capital constraints. The results are further confirmed using several alternative measures of capital constraints, a paired analysis based on a ratings shock to\n                CSR\n                performance, an instrumental variables approach, and a simultaneous equations approach. Finally, we show that the relation is driven by both the social and environmental dimension of\n                CSR\n              \n              . Copyright © 2013 John Wiley &amp; Sons, Ltd.","container-title":"Strategic Management Journal","DOI":"10.1002/smj.2131","ISSN":"0143-2095, 1097-0266","issue":"1","journalAbbreviation":"Strategic Management Journal","language":"en","page":"1-23","source":"DOI.org (Crossref)","title":"Corporate social responsibility and access to finance","volume":"35","author":[{"family":"Cheng","given":"Beiting"},{"family":"Ioannou","given":"Ioannis"},{"family":"Serafeim","given":"George"}],"issued":{"date-parts":[["2014",1]]}}}],"schema":"https://github.com/citation-style-language/schema/raw/master/csl-citation.json"}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(Cheng et al., 2014)</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34BCA56A" w14:textId="77777777" w:rsidR="008E37A3" w:rsidRPr="00E707F0" w:rsidRDefault="008E37A3" w:rsidP="003D7AE4">
      <w:pPr>
        <w:pStyle w:val="ListParagraph"/>
        <w:numPr>
          <w:ilvl w:val="0"/>
          <w:numId w:val="1"/>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Role of board composition and oversight in ESG performance</w:t>
      </w:r>
      <w:r w:rsidRPr="003D7AE4">
        <w:rPr>
          <w:rFonts w:ascii="Georgia" w:hAnsi="Georgia"/>
          <w:color w:val="2C336A"/>
          <w:sz w:val="20"/>
          <w:szCs w:val="20"/>
        </w:rPr>
        <w:t>:</w:t>
      </w:r>
      <w:r w:rsidRPr="00E707F0">
        <w:rPr>
          <w:rFonts w:ascii="Georgia" w:hAnsi="Georgia"/>
          <w:color w:val="000000" w:themeColor="text1"/>
          <w:sz w:val="20"/>
          <w:szCs w:val="20"/>
        </w:rPr>
        <w:t xml:space="preserve"> This research theme examines how the composition of the Board of Directors (</w:t>
      </w:r>
      <w:proofErr w:type="spellStart"/>
      <w:r w:rsidRPr="00E707F0">
        <w:rPr>
          <w:rFonts w:ascii="Georgia" w:hAnsi="Georgia"/>
          <w:color w:val="000000" w:themeColor="text1"/>
          <w:sz w:val="20"/>
          <w:szCs w:val="20"/>
        </w:rPr>
        <w:t>BoD</w:t>
      </w:r>
      <w:proofErr w:type="spellEnd"/>
      <w:r w:rsidRPr="00E707F0">
        <w:rPr>
          <w:rFonts w:ascii="Georgia" w:hAnsi="Georgia"/>
          <w:color w:val="000000" w:themeColor="text1"/>
          <w:sz w:val="20"/>
          <w:szCs w:val="20"/>
        </w:rPr>
        <w:t xml:space="preserve">), including the presence of ESG expertise, and how the oversight activities of the Board influence ESG </w:t>
      </w:r>
      <w:proofErr w:type="spellStart"/>
      <w:r w:rsidRPr="00E707F0">
        <w:rPr>
          <w:rFonts w:ascii="Georgia" w:hAnsi="Georgia"/>
          <w:color w:val="000000" w:themeColor="text1"/>
          <w:sz w:val="20"/>
          <w:szCs w:val="20"/>
        </w:rPr>
        <w:t>performance.Studies</w:t>
      </w:r>
      <w:proofErr w:type="spellEnd"/>
      <w:r w:rsidRPr="00E707F0">
        <w:rPr>
          <w:rFonts w:ascii="Georgia" w:hAnsi="Georgia"/>
          <w:color w:val="000000" w:themeColor="text1"/>
          <w:sz w:val="20"/>
          <w:szCs w:val="20"/>
        </w:rPr>
        <w:t xml:space="preserve"> acknowledged that the governing </w:t>
      </w:r>
      <w:r w:rsidRPr="00E707F0">
        <w:rPr>
          <w:rFonts w:ascii="Georgia" w:hAnsi="Georgia"/>
          <w:color w:val="000000" w:themeColor="text1"/>
          <w:sz w:val="20"/>
          <w:szCs w:val="20"/>
        </w:rPr>
        <w:lastRenderedPageBreak/>
        <w:t xml:space="preserve">body and the </w:t>
      </w:r>
      <w:proofErr w:type="spellStart"/>
      <w:r w:rsidRPr="00E707F0">
        <w:rPr>
          <w:rFonts w:ascii="Georgia" w:hAnsi="Georgia"/>
          <w:color w:val="000000" w:themeColor="text1"/>
          <w:sz w:val="20"/>
          <w:szCs w:val="20"/>
        </w:rPr>
        <w:t>BoDare</w:t>
      </w:r>
      <w:proofErr w:type="spellEnd"/>
      <w:r w:rsidRPr="00E707F0">
        <w:rPr>
          <w:rFonts w:ascii="Georgia" w:hAnsi="Georgia"/>
          <w:color w:val="000000" w:themeColor="text1"/>
          <w:sz w:val="20"/>
          <w:szCs w:val="20"/>
        </w:rPr>
        <w:t xml:space="preserve"> </w:t>
      </w:r>
      <w:proofErr w:type="spellStart"/>
      <w:r w:rsidRPr="00E707F0">
        <w:rPr>
          <w:rFonts w:ascii="Georgia" w:hAnsi="Georgia"/>
          <w:color w:val="000000" w:themeColor="text1"/>
          <w:sz w:val="20"/>
          <w:szCs w:val="20"/>
        </w:rPr>
        <w:t>crucialin</w:t>
      </w:r>
      <w:proofErr w:type="spellEnd"/>
      <w:r w:rsidRPr="00E707F0">
        <w:rPr>
          <w:rFonts w:ascii="Georgia" w:hAnsi="Georgia"/>
          <w:color w:val="000000" w:themeColor="text1"/>
          <w:sz w:val="20"/>
          <w:szCs w:val="20"/>
        </w:rPr>
        <w:t xml:space="preserve"> ensuring the firm is run ethically</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{"citationID":"b0OKEgR1","properties":{"formattedCitation":"(Manda &amp; Khaliq, 2023)","plainCitation":"(Manda &amp; Khaliq, 2023)","noteIndex":0},"citationItems":[{"id":5595,"uris":["http://zotero.org/users/6351501/items/XL3RUL74"],"itemData":{"id":5595,"type":"chapter","abstract":"India has recently witnessed several allegations of corporate governance lapses and failure. The alarming situation prompted the government and the regulators to take serious note to make the companies accountable for the allegations and to bring in regulations to contain the policy leaks. The governing body and the board of directors must abide by ethical standards, demonstrating an unwavering commitment to discipline, transparency, fairness, and accountability for their actions. This work uses a case study approach to examine various recent corporate governance failures in India. The examination is made in the following dimensions: accountability, transparency, equitability, responsibility, ethical conduct, board independence, risk management, corporate social responsibility, stakeholder engagement, and regulatory compliance. The study scrutinized various classic and recent corporate governance lapses in established corporate entities and startups and in Indian banks. The measures implemented by regulatory bodies, including the RBI, SEBI, and the MCA, were analyzed.","container-title":"Advances in Logistics, Operations, and Management Science","ISBN":"978-1-66849-867-5","note":"DOI: 10.4018/978-1-6684-9867-5.ch002","page":"24-54","publisher":"IGI Global","source":"DOI.org (Crossref)","title":"Corporate Governance Failure and the Regulatory Fight Against It: An Examination of Select Instances From India","title-short":"Corporate Governance Failure and the Regulatory Fight Against It","URL":"https://services.igi-global.com/resolvedoi/resolve.aspx?doi=10.4018/978-1-6684-9867-5.ch002","editor":[{"family":"Hasan","given":"Rashedul"}],"author":[{"family":"Manda","given":"Vijaya Kittu"},{"family":"Khaliq","given":"Lubza Nihar"}],"accessed":{"date-parts":[["2024",2,24]]},"issued":{"date-parts":[["2023",12,7]]}}}],"schema":"https://github.com/citation-style-language/schema/raw/master/csl-citation.json"}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(Manda &amp; Khaliq, 2023)</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.The presence or absence of board characteristics leads to high or low ESG performance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{"citationID":"kaPRmv9M","properties":{"formattedCitation":"(Lewellyn &amp; Muller-Kahle, 2023)","plainCitation":"(Lewellyn &amp; Muller-Kahle, 2023)","noteIndex":0},"citationItems":[{"id":5634,"uris":["http://zotero.org/users/6351501/items/JRMGQZDX"],"itemData":{"id":5634,"type":"article-journal","abstract":"We draw from resource dependence and institutional theories to explore how board characteristics associated with directors’ capacities to provide resources and legitimacy (i.e., board size, the number of non-executive, interlocking, and female directors) along with regulative, normative, and cultural-cognitive institutional conditions combine to shape firm environmental, social, and governance (ESG) performance. Using a process of configurational theorizing with fuzzy set qualitative comparative analysis and data from firms in 32 countries, we identify multiple equifinal configurations that are associated with high and low ESG performance. We find that high and low ESG performance have different drivers due to complementarities among the presence and absence of board characteristics. Our results also show that the effectiveness (or not) of the bundles of boards’ characteristics for ESG performance varies across institutional contexts. By leveraging these findings to construct a typology of board archetypes that lead to high and low ESG performance, we offer novel theoretical and empirical insights to scholars as well as implications for practice.","container-title":"Business &amp; Society","DOI":"10.1177/00076503231182688","ISSN":"0007-6503, 1552-4205","journalAbbreviation":"Business &amp; Society","language":"en","page":"00076503231182688","source":"DOI.org (Crossref)","title":"ESG Leaders or Laggards? A Configurational Analysis of ESG Performance","title-short":"ESG Leaders or Laggards?","author":[{"family":"Lewellyn","given":"Krista"},{"family":"Muller-Kahle","given":"Maureen"}],"issued":{"date-parts":[["2023",7,6]]}}}],"schema":"https://github.com/citation-style-language/schema/raw/master/csl-citation.json"}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(Lewellyn &amp; Muller-Kahle, 2023)</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Studies acknowledged that independent directors and the CSR committee influence CSR disclosures. While the age of the board is not a factor, the presence of women members on </w:t>
      </w:r>
      <w:proofErr w:type="spellStart"/>
      <w:r w:rsidRPr="00E707F0">
        <w:rPr>
          <w:rFonts w:ascii="Georgia" w:hAnsi="Georgia"/>
          <w:color w:val="000000" w:themeColor="text1"/>
          <w:sz w:val="20"/>
          <w:szCs w:val="20"/>
        </w:rPr>
        <w:t>BoD</w:t>
      </w:r>
      <w:proofErr w:type="spellEnd"/>
      <w:r w:rsidRPr="00E707F0">
        <w:rPr>
          <w:rFonts w:ascii="Georgia" w:hAnsi="Georgia"/>
          <w:color w:val="000000" w:themeColor="text1"/>
          <w:sz w:val="20"/>
          <w:szCs w:val="20"/>
        </w:rPr>
        <w:t xml:space="preserve"> is negatively correlated</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{"citationID":"v4I6aHA0","properties":{"formattedCitation":"(Cucari et al., 2018)","plainCitation":"(Cucari et al., 2018)","noteIndex":0},"citationItems":[{"id":5594,"uris":["http://zotero.org/users/6351501/items/FZ3XYHHT"],"itemData":{"id":5594,"type":"article-journal","abstract":"Abstract\n            This study investigates the association between environmental, social, and governance (ESG) disclosure and diversity of the board of directors (BoD) in Italian listed companies. Diversity of BoD in terms of gender diversity, CSR committees, board average, and independent directors are examined as to their influence on voluntary ESG disclosure. This rating is highly relevant to managers and investors considering ESG issues in their decision</w:instrText>
      </w:r>
      <w:r w:rsidRPr="00E707F0">
        <w:rPr>
          <w:color w:val="000000" w:themeColor="text1"/>
          <w:sz w:val="20"/>
          <w:szCs w:val="20"/>
        </w:rPr>
        <w:instrText>‐</w:instrText>
      </w:r>
      <w:r w:rsidRPr="00E707F0">
        <w:rPr>
          <w:rFonts w:ascii="Georgia" w:hAnsi="Georgia"/>
          <w:color w:val="000000" w:themeColor="text1"/>
          <w:sz w:val="20"/>
          <w:szCs w:val="20"/>
        </w:rPr>
        <w:instrText xml:space="preserve">making process. The factors that drive or hinder ESG disclosure are gaining importance. Despite the relevance of the topic, in Italy there is a scarce amount of literature regarding diversity in the BoD. The data set includes ESG data for more than 54 Italian companies for the period 2011–2014. The results indicate that firm's CSR disclosure is associated with independent director and committee CSR. In addition, women on BoDs is negatively correlated while the age of the board is not significant. Based on this study, shareholders and policymakers will have a deeper knowledge on the significant roles that board diversity is playing as a determinant of ESG disclosure. Copyright © 2017 John Wiley &amp; Sons, Ltd and ERP Environment","container-title":"Corporate Social Responsibility and Environmental Management","DOI":"10.1002/csr.1452","ISSN":"1535-3958, 1535-3966","issue":"3","journalAbbreviation":"Corp Soc Responsibility Env","language":"en","page":"250-266","source":"DOI.org (Crossref)","title":"Diversity of Board of Directors and Environmental Social Governance: Evidence from Italian Listed Companies","title-short":"Diversity of Board of Directors and Environmental Social Governance","volume":"25","author":[{"family":"Cucari","given":"Nicola"},{"family":"Esposito De Falco","given":"Salvatore"},{"family":"Orlando","given":"Beatrice"}],"issued":{"date-parts":[["2018",5]]}}}],"schema":"https://github.com/citation-style-language/schema/raw/master/csl-citation.json"}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w:t>
      </w:r>
      <w:proofErr w:type="spellStart"/>
      <w:r w:rsidRPr="00E707F0">
        <w:rPr>
          <w:rFonts w:ascii="Georgia" w:hAnsi="Georgia"/>
          <w:color w:val="000000" w:themeColor="text1"/>
          <w:sz w:val="20"/>
          <w:szCs w:val="20"/>
        </w:rPr>
        <w:t>Cucari</w:t>
      </w:r>
      <w:proofErr w:type="spellEnd"/>
      <w:r w:rsidRPr="00E707F0">
        <w:rPr>
          <w:rFonts w:ascii="Georgia" w:hAnsi="Georgia"/>
          <w:color w:val="000000" w:themeColor="text1"/>
          <w:sz w:val="20"/>
          <w:szCs w:val="20"/>
        </w:rPr>
        <w:t xml:space="preserve"> et al., 2018)</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Further, higher CEO power enhances the ESG disclosure effect on firm value</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{"citationID":"ETr3EqF3","properties":{"formattedCitation":"(Y. Li et al., 2018)","plainCitation":"(Y. Li et al., 2018)","noteIndex":0},"citationItems":[{"id":5587,"uris":["http://zotero.org/users/6351501/items/7SA4KBQU"],"itemData":{"id":5587,"type":"article-journal","container-title":"The British Accounting Review","DOI":"10.1016/j.bar.2017.09.007","ISSN":"08908389","issue":"1","journalAbbreviation":"The British Accounting Review","language":"en","page":"60-75","source":"DOI.org (Crossref)","title":"The impact of environmental, social, and governance disclosure on firm value: The role of CEO power","title-short":"The impact of environmental, social, and governance disclosure on firm value","volume":"50","author":[{"family":"Li","given":"Yiwei"},{"family":"Gong","given":"Mengfeng"},{"family":"Zhang","given":"Xiu-Ye"},{"family":"Koh","given":"Lenny"}],"issued":{"date-parts":[["2018",1]]}}}],"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(Y. Li et al., 2018)</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ESG influences corporate decisions such as executive remuneration and mergers and acquisitions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{"citationID":"LwjT8y2v","properties":{"formattedCitation":"(Brooks &amp; Oikonomou, 2018)","plainCitation":"(Brooks &amp; Oikonomou, 2018)","noteIndex":0},"citationItems":[{"id":5592,"uris":["http://zotero.org/users/6351501/items/5QU93P2P"],"itemData":{"id":5592,"type":"article-journal","abstract":"This paper not only attempts to survey the burgeoning literature on environmental, social and governance disclosures and performance and their eﬀects on ﬁrm value, but its focus also lies on highlighting stylised observations coming from the most recent work that has not yet become part of the ‘conventional wisdom’ in the ﬁeld. In addition, it outlines some of the crucial knowledge gaps and interesting questions that have not, as of yet, been addressed and thus outlines a potential agenda for future research on socially responsible investing. Lastly, it introduces the papers published in this special issue of the British Accounting Review.","container-title":"The British Accounting Review","DOI":"10.1016/j.bar.2017.11.005","ISSN":"08908389","issue":"1","journalAbbreviation":"The British Accounting Review","language":"en","page":"1-15","source":"DOI.org (Crossref)","title":"The effects of environmental, social and governance disclosures and performance on firm value: A review of the literature in accounting and finance","title-short":"The effects of environmental, social and governance disclosures and performance on firm value","volume":"50","author":[{"family":"Brooks","given":"Chris"},{"family":"Oikonomou","given":"Ioannis"}],"issued":{"date-parts":[["2018",1]]}}}],"schema":"https://github.com/citation-style-language/schema/raw/master/csl-citation.json"}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(Brooks &amp;Oikonomou, 2018)</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442290A6" w14:textId="77777777" w:rsidR="008E37A3" w:rsidRPr="00E707F0" w:rsidRDefault="008E37A3" w:rsidP="003D7AE4">
      <w:pPr>
        <w:pStyle w:val="ListParagraph"/>
        <w:numPr>
          <w:ilvl w:val="0"/>
          <w:numId w:val="1"/>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Effectiveness of different ESG disclosure practices</w:t>
      </w:r>
      <w:r w:rsidRPr="003D7AE4">
        <w:rPr>
          <w:rFonts w:ascii="Georgia" w:hAnsi="Georgia"/>
          <w:color w:val="2C336A"/>
          <w:sz w:val="20"/>
          <w:szCs w:val="20"/>
        </w:rPr>
        <w:t xml:space="preserve">: </w:t>
      </w:r>
      <w:r w:rsidRPr="00E707F0">
        <w:rPr>
          <w:rFonts w:ascii="Georgia" w:hAnsi="Georgia"/>
          <w:color w:val="000000" w:themeColor="text1"/>
          <w:sz w:val="20"/>
          <w:szCs w:val="20"/>
        </w:rPr>
        <w:t xml:space="preserve">This research theme examines the effectiveness of different approaches to ESG disclosures, such as the use of integrated reporting and sustainability reports, in communicating a company's ESG performance to </w:t>
      </w:r>
      <w:proofErr w:type="spellStart"/>
      <w:r w:rsidRPr="00E707F0">
        <w:rPr>
          <w:rFonts w:ascii="Georgia" w:hAnsi="Georgia"/>
          <w:color w:val="000000" w:themeColor="text1"/>
          <w:sz w:val="20"/>
          <w:szCs w:val="20"/>
        </w:rPr>
        <w:t>stakeholders.Unlike</w:t>
      </w:r>
      <w:proofErr w:type="spellEnd"/>
      <w:r w:rsidRPr="00E707F0">
        <w:rPr>
          <w:rFonts w:ascii="Georgia" w:hAnsi="Georgia"/>
          <w:color w:val="000000" w:themeColor="text1"/>
          <w:sz w:val="20"/>
          <w:szCs w:val="20"/>
        </w:rPr>
        <w:t xml:space="preserve"> traditional reporting, ESG reporting is problematic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{"citationID":"j8UWS7hc","properties":{"formattedCitation":"(De Silva Lokuwaduge &amp; De Silva, 2022)","plainCitation":"(De Silva Lokuwaduge &amp; De Silva, 2022)","noteIndex":0},"citationItems":[{"id":5632,"uris":["http://zotero.org/users/6351501/items/BSTN8KNQ"],"itemData":{"id":5632,"type":"article-journal","container-title":"Australasian Business, Accounting and Finance Journal","DOI":"10.14453/aabfj.v16i1.10","ISSN":"18342019","issue":"1","journalAbbreviation":"AABFJ","page":"146-159","source":"DOI.org (Crossref)","title":"ESG Risk Disclosure and the Risk of Green Washing","volume":"16","author":[{"family":"De Silva Lokuwaduge","given":"Chitra S"},{"family":"De Silva","given":"Keshara M"}],"issued":{"date-parts":[["2022"]]}}}],"schema":"https://github.com/citation-style-language/schema/raw/master/csl-citation.json"}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(De Silva Lokuwaduge &amp; De Silva, 2022)</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not straightforward, and often has to be brought in from several departments. ESG disclosures affect firm value. ESG strengths are seen as increasing firm value while weaknesses have decreased it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{"citationID":"XUjLAc28","properties":{"formattedCitation":"(Fatemi et al., 2018)","plainCitation":"(Fatemi et al., 2018)","noteIndex":0},"citationItems":[{"id":5596,"uris":["http://zotero.org/users/6351501/items/DQGUWH5P"],"itemData":{"id":5596,"type":"article-journal","container-title":"Global Finance Journal","DOI":"10.1016/j.gfj.2017.03.001","ISSN":"10440283","journalAbbreviation":"Global Finance Journal","language":"en","page":"45-64","source":"DOI.org (Crossref)","title":"ESG performance and firm value: The moderating role of disclosure","title-short":"ESG performance and firm value","volume":"38","author":[{"family":"Fatemi","given":"Ali"},{"family":"Glaum","given":"Martin"},{"family":"Kaiser","given":"Stefanie"}],"issued":{"date-parts":[["2018",11]]}}}],"schema":"https://github.com/citation-style-language/schema/raw/master/csl-citation.json"}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(Fatemi et al., 2018)</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Improved transparency and accountability and enhanced stakeholder trust boost firm value</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{"citationID":"YH6rL45n","properties":{"formattedCitation":"(Y. Li et al., 2018)","plainCitation":"(Y. Li et al., 2018)","noteIndex":0},"citationItems":[{"id":5587,"uris":["http://zotero.org/users/6351501/items/7SA4KBQU"],"itemData":{"id":5587,"type":"article-journal","container-title":"The British Accounting Review","DOI":"10.1016/j.bar.2017.09.007","ISSN":"08908389","issue":"1","journalAbbreviation":"The British Accounting Review","language":"en","page":"60-75","source":"DOI.org (Crossref)","title":"The impact of environmental, social, and governance disclosure on firm value: The role of CEO power","title-short":"The impact of environmental, social, and governance disclosure on firm value","volume":"50","author":[{"family":"Li","given":"Yiwei"},{"family":"Gong","given":"Mengfeng"},{"family":"Zhang","given":"Xiu-Ye"},{"family":"Koh","given":"Lenny"}],"issued":{"date-parts":[["2018",1]]}}}],"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(Y. Li et al., 2018)</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Moderate disclosures, instead of low or high, affect corporate efficiency positively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{"citationID":"alKiecOc","properties":{"formattedCitation":"(Xie et al., 2019)","plainCitation":"(Xie et al., 2019)","noteIndex":0},"citationItems":[{"id":5589,"uris":["http://zotero.org/users/6351501/items/PJKKL7U8"],"itemData":{"id":5589,"type":"article-journal","abstract":"Abstract\n            This study investigated the relationship between corporate efficiency and corporate sustainability to determine whether firms concerned about environmental, social, and governance (ESG) issues can also be efficient and profitable. We applied data envelopment analysis to estimate corporate efficiency and investigated the nonlinear relationship between corporate efficiency and ESG disclosure. Evidence shows that corporate transparency regarding ESG information has a positive association with corporate efficiency at the moderate disclosure level, rather than at the high or low disclosure level. Governance information disclosure has the strongest positive linkage with corporate efficiency, followed by social and environmental information disclosure. Moreover, we explored the relationship between particular ESG activities and corporate financial performance (CFP), including corporate efficiency, return on assets, and market value. We found that most of the ESG activities reveal a nonnegative relationship with CFP. These findings may provide evidence about voluntary corporate social responsibility strategy choices for enhancing corporate sustainability.","container-title":"Business Strategy and the Environment","DOI":"10.1002/bse.2224","ISSN":"0964-4733, 1099-0836","issue":"2","journalAbbreviation":"Bus Strat Env","language":"en","page":"286-300","source":"DOI.org (Crossref)","title":"Do environmental, social, and governance activities improve corporate financial performance?","volume":"28","author":[{"family":"Xie","given":"Jun"},{"family":"Nozawa","given":"Wataru"},{"family":"Yagi","given":"Michiyuki"},{"family":"Fujii","given":"Hidemichi"},{"family":"Managi","given":"Shunsuke"}],"issued":{"date-parts":[["2019",2]]}}}],"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(Xie et al., 2019)</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Some researchers suggested that tax disclosures should be integral to ESG disclosures, considering the theoretical link between the concepts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{"citationID":"WEkP2Mgk","properties":{"formattedCitation":"(Menicacci &amp; Simoni, 2024)","plainCitation":"(Menicacci &amp; Simoni, 2024)","noteIndex":0},"citationItems":[{"id":5625,"uris":["http://zotero.org/users/6351501/items/KUUS5HA3"],"itemData":{"id":5625,"type":"article-journal","abstract":"Purpose\n              This study aims to investigate the role of negative media coverage of environmental, social and governance (ESG) issues in deterring tax avoidance. Inspired by media agenda-setting theory and legitimacy theory, this study hypothesises that an increase in ESG negative media coverage should cause a reputational drawback, leading companies to reduce tax avoidance to regain their legitimacy. Hence, this study examines a novel channel that links ESG and taxation.\n            \n            \n              Design/methodology/approach\n              This study uses panel regression analysis to examine the relationship between negative media coverage of ESG issues and tax avoidance among the largest European entities. This study considers different measures of tax avoidance and negative media coverage.\n            \n            \n              Findings\n              The results show that negative media coverage of ESG issues is negatively associated with tax avoidance, suggesting that media can act as an external monitor for corporate taxation.\n            \n            \n              Practical implications\n              The findings have implications for policymakers and regulators, which should consider tax transparency when dealing with ESG disclosure requirements. Tax disclosure should be integrated into ESG reporting.\n            \n            \n              Social implications\n              The study has social implications related to the media, which act as watchdogs for firms’ irresponsible practices. According to this study’s findings, increased media pressure has the power to induce a better alignment between declared ESG policies and tax strategies.\n            \n            \n              Originality/value\n              This study contributes to the literature on the mechanisms that discourage tax avoidance and the literature on the relationship between ESG and taxation by shedding light on the role of media coverage.","container-title":"Sustainability Accounting, Management and Policy Journal","DOI":"10.1108/SAMPJ-01-2023-0024","ISSN":"2040-8021, 2040-8021","issue":"7","journalAbbreviation":"SAMPJ","language":"en","page":"1-33","source":"DOI.org (Crossref)","title":"Negative media coverage of ESG issues and corporate tax avoidance","volume":"15","author":[{"family":"Menicacci","given":"Luca"},{"family":"Simoni","given":"Lorenzo"}],"issued":{"date-parts":[["2024",2,9]]}}}],"schema":"https://github.com/citation-style-language/schema/raw/master/csl-citation.json"}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(Menicacci&amp; Simoni, 2024)</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Compatibility and resource dependence were found to be critical factors affecting the adoption of disclosure strategies</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{"citationID":"IMHN9FD3","properties":{"formattedCitation":"(Z. Liu et al., 2022)","plainCitation":"(Z. Liu et al., 2022)","noteIndex":0},"citationItems":[{"id":5636,"uris":["http://zotero.org/users/6351501/items/PSCQ4RJB"],"itemData":{"id":5636,"type":"article-journal","abstract":"Environmental, social, and governance (ESG) disclosure plays a critical role in promoting corporations’ abilities to achieve sustainable development. Previous research has focused on the concept, antecedents, and consequences of ESG disclosure, ignoring that there are significant differences in ESG disclosure strategies of corporations and providing even less understanding of how corporations adopt ESG disclosure strategies.Therefore, we identify the factors and mechanisms of ESG disclosure strategy adoption in context of stakeholders. Using new institutional theory (NIT) and resource dependence theory (RDT), we suggest that goals compatibility and resources dependence are the 2 critical factors that affect a corporation’s ESG disclosure strategy adoption. Accordingly, we construct a framework of corporations’ ESG disclosure strategies adoption. We address the gaps in understanding of ESG disclosure strategies adoption of corporations, expand NIT and RDT, and provide rich practical guidance to promote the healthy development of ESG disclosure strategies.","container-title":"Elementa: Science of the Anthropocene","DOI":"10.1525/elementa.2022.00044","ISSN":"2325-1026","issue":"1","language":"en","page":"00044","source":"DOI.org (Crossref)","title":"Stakeholders and ESG disclosure strategies adoption: The role of goals compatibility and resources dependence","title-short":"Stakeholders and ESG disclosure strategies adoption","volume":"10","author":[{"family":"Liu","given":"Zhiyang"},{"family":"Zheng","given":"Ruoyu"},{"family":"Qiu","given":"Zhenyu"},{"family":"Jiang","given":"Xiaodong"}],"issued":{"date-parts":[["2022",11,16]]}}}],"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(Z. Liu et al., 2022)</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7D141288" w14:textId="77777777" w:rsidR="008E37A3" w:rsidRPr="00E707F0" w:rsidRDefault="008E37A3" w:rsidP="003D7AE4">
      <w:pPr>
        <w:pStyle w:val="ListParagraph"/>
        <w:numPr>
          <w:ilvl w:val="0"/>
          <w:numId w:val="1"/>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Role of investors and other stakeholders in driving ESG performance</w:t>
      </w:r>
      <w:r w:rsidRPr="003D7AE4">
        <w:rPr>
          <w:rFonts w:ascii="Georgia" w:hAnsi="Georgia"/>
          <w:color w:val="2C336A"/>
          <w:sz w:val="20"/>
          <w:szCs w:val="20"/>
        </w:rPr>
        <w:t>:</w:t>
      </w:r>
      <w:r w:rsidRPr="00E707F0">
        <w:rPr>
          <w:rFonts w:ascii="Georgia" w:hAnsi="Georgia"/>
          <w:color w:val="000000" w:themeColor="text1"/>
          <w:sz w:val="20"/>
          <w:szCs w:val="20"/>
        </w:rPr>
        <w:t xml:space="preserve"> This research examines how investors, such as institutional investors and ESG-focused funds, and other stakeholders, such as NGOs and community groups, can influence a company's ESG performance through engagement and activism. Further, there is a strong connection between ESG and the firm's Corporate Social Responsibility (CSR) practices</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{"citationID":"XumS3CNP","properties":{"formattedCitation":"(Gillan et al., 2021)","plainCitation":"(Gillan et al., 2021)","noteIndex":0},"citationItems":[{"id":5586,"uris":["http://zotero.org/users/6351501/items/DMSVS53K"],"itemData":{"id":5586,"type":"article-journal","container-title":"Journal of Corporate Finance","DOI":"10.1016/j.jcorpfin.2021.101889","ISSN":"09291199","journalAbbreviation":"Journal of Corporate Finance","language":"en","page":"101889","source":"DOI.org (Crossref)","title":"Firms and social responsibility: A review of ESG and CSR research in corporate finance","title-short":"Firms and social responsibility","volume":"66","author":[{"family":"Gillan","given":"Stuart L."},{"family":"Koch","given":"Andrew"},{"family":"Starks","given":"Laura T."}],"issued":{"date-parts":[["2021",2]]}}}],"schema":"https://github.com/citation-style-language/schema/raw/master/csl-citation.json"}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(Gillan et al., 2021)</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There is a weak connection between companies' CSR and ESG performance.</w:t>
      </w:r>
    </w:p>
    <w:p w14:paraId="0617F0A2" w14:textId="77777777" w:rsidR="008E37A3" w:rsidRPr="00E707F0" w:rsidRDefault="008E37A3" w:rsidP="003D7AE4">
      <w:pPr>
        <w:pStyle w:val="ListParagraph"/>
        <w:numPr>
          <w:ilvl w:val="0"/>
          <w:numId w:val="1"/>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Developing and implementing ESG integration strategies</w:t>
      </w:r>
      <w:r w:rsidRPr="003D7AE4">
        <w:rPr>
          <w:rFonts w:ascii="Georgia" w:hAnsi="Georgia"/>
          <w:color w:val="2C336A"/>
          <w:sz w:val="20"/>
          <w:szCs w:val="20"/>
        </w:rPr>
        <w:t>: T</w:t>
      </w:r>
      <w:r w:rsidRPr="00E707F0">
        <w:rPr>
          <w:rFonts w:ascii="Georgia" w:hAnsi="Georgia"/>
          <w:color w:val="000000" w:themeColor="text1"/>
          <w:sz w:val="20"/>
          <w:szCs w:val="20"/>
        </w:rPr>
        <w:t xml:space="preserve">his research theme examines how companies can develop and implement effective ESG integration strategies that embed ESG considerations into all business </w:t>
      </w:r>
      <w:proofErr w:type="spellStart"/>
      <w:proofErr w:type="gramStart"/>
      <w:r w:rsidRPr="00E707F0">
        <w:rPr>
          <w:rFonts w:ascii="Georgia" w:hAnsi="Georgia"/>
          <w:color w:val="000000" w:themeColor="text1"/>
          <w:sz w:val="20"/>
          <w:szCs w:val="20"/>
        </w:rPr>
        <w:t>operations.Being</w:t>
      </w:r>
      <w:proofErr w:type="spellEnd"/>
      <w:proofErr w:type="gramEnd"/>
      <w:r w:rsidRPr="00E707F0">
        <w:rPr>
          <w:rFonts w:ascii="Georgia" w:hAnsi="Georgia"/>
          <w:color w:val="000000" w:themeColor="text1"/>
          <w:sz w:val="20"/>
          <w:szCs w:val="20"/>
        </w:rPr>
        <w:t xml:space="preserve"> a </w:t>
      </w:r>
      <w:proofErr w:type="spellStart"/>
      <w:r w:rsidRPr="00E707F0">
        <w:rPr>
          <w:rFonts w:ascii="Georgia" w:hAnsi="Georgia"/>
          <w:color w:val="000000" w:themeColor="text1"/>
          <w:sz w:val="20"/>
          <w:szCs w:val="20"/>
        </w:rPr>
        <w:t>companycatering</w:t>
      </w:r>
      <w:proofErr w:type="spellEnd"/>
      <w:r w:rsidRPr="00E707F0">
        <w:rPr>
          <w:rFonts w:ascii="Georgia" w:hAnsi="Georgia"/>
          <w:color w:val="000000" w:themeColor="text1"/>
          <w:sz w:val="20"/>
          <w:szCs w:val="20"/>
        </w:rPr>
        <w:t xml:space="preserve"> to sensitive </w:t>
      </w:r>
      <w:proofErr w:type="spellStart"/>
      <w:r w:rsidRPr="00E707F0">
        <w:rPr>
          <w:rFonts w:ascii="Georgia" w:hAnsi="Georgia"/>
          <w:color w:val="000000" w:themeColor="text1"/>
          <w:sz w:val="20"/>
          <w:szCs w:val="20"/>
        </w:rPr>
        <w:t>industriesallows</w:t>
      </w:r>
      <w:proofErr w:type="spellEnd"/>
      <w:r w:rsidRPr="00E707F0">
        <w:rPr>
          <w:rFonts w:ascii="Georgia" w:hAnsi="Georgia"/>
          <w:color w:val="000000" w:themeColor="text1"/>
          <w:sz w:val="20"/>
          <w:szCs w:val="20"/>
        </w:rPr>
        <w:t xml:space="preserve"> them to present superior environmental performance. This evidence held good even when controlling for the firm's size and country</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{"citationID":"JvsAlsrg","properties":{"formattedCitation":"(Garcia et al., 2017)","plainCitation":"(Garcia et al., 2017)","noteIndex":0},"citationItems":[{"id":5599,"uris":["http://zotero.org/users/6351501/items/YTSJT6R6"],"itemData":{"id":5599,"type":"article-journal","container-title":"Journal of Cleaner Production","DOI":"10.1016/j.jclepro.2017.02.180","ISSN":"09596526","journalAbbreviation":"Journal of Cleaner Production","language":"en","page":"135-147","source":"DOI.org (Crossref)","title":"Sensitive industries produce better ESG performance: Evidence from emerging markets","title-short":"Sensitive industries produce better ESG performance","volume":"150","author":[{"family":"Garcia","given":"Alexandre Sanches"},{"family":"Mendes-Da-Silva","given":"Wesley"},{"family":"Orsato","given":"Renato J."}],"issued":{"date-parts":[["2017",5]]}}}],"schema":"https://github.com/citation-style-language/schema/raw/master/csl-citation.json"}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(Garcia et al., 2017)</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Research finds that country-specific factors such as political system (legal framework and corruption), labor system (labor protection and unemployment rate), and cultural system (Social Cohesion and Equal Opportunities), as well as firm-related factors visibility (analysts coverage, cross-listing, leverage, and size), are linked to ESG disclosures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{"citationID":"cmJtVR9I","properties":{"formattedCitation":"(Baldini et al., 2018)","plainCitation":"(Baldini et al., 2018)","noteIndex":0},"citationItems":[{"id":5603,"uris":["http://zotero.org/users/6351501/items/V6RTB97U"],"itemData":{"id":5603,"type":"article-journal","container-title":"Journal of Business Ethics","DOI":"10.1007/s10551-016-3139-1","ISSN":"0167-4544, 1573-0697","issue":"1","journalAbbreviation":"J Bus Ethics","language":"en","page":"79-98","source":"DOI.org (Crossref)","title":"Role of Country- and Firm-Level Determinants in Environmental, Social, and Governance Disclosure","volume":"150","author":[{"family":"Baldini","given":"Maria"},{"family":"Maso","given":"Lorenzo Dal"},{"family":"Liberatore","given":"Giovanni"},{"family":"Mazzi","given":"Francesco"},{"family":"Terzani","given":"Simone"}],"issued":{"date-parts":[["2018",6]]}}}],"schema":"https://github.com/citation-style-language/schema/raw/master/csl-citation.json"}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(Baldini et al., 2018)</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5F7728D4" w14:textId="77777777" w:rsidR="008E37A3" w:rsidRPr="00E707F0" w:rsidRDefault="008E37A3" w:rsidP="003D7AE4">
      <w:pPr>
        <w:pStyle w:val="ListParagraph"/>
        <w:numPr>
          <w:ilvl w:val="0"/>
          <w:numId w:val="1"/>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Role of corporate governance in managing ESG risks</w:t>
      </w:r>
      <w:r w:rsidRPr="003D7AE4">
        <w:rPr>
          <w:rFonts w:ascii="Georgia" w:hAnsi="Georgia"/>
          <w:color w:val="2C336A"/>
          <w:sz w:val="20"/>
          <w:szCs w:val="20"/>
        </w:rPr>
        <w:t>:</w:t>
      </w:r>
      <w:r w:rsidRPr="00E707F0">
        <w:rPr>
          <w:rFonts w:ascii="Georgia" w:hAnsi="Georgia"/>
          <w:color w:val="000000" w:themeColor="text1"/>
          <w:sz w:val="20"/>
          <w:szCs w:val="20"/>
        </w:rPr>
        <w:t xml:space="preserve"> This research theme examines how corporate governance practices can help companies identify, assess, and manage ESG risks, such as climate change risks, social justice issues, and governance </w:t>
      </w:r>
      <w:proofErr w:type="spellStart"/>
      <w:proofErr w:type="gramStart"/>
      <w:r w:rsidRPr="00E707F0">
        <w:rPr>
          <w:rFonts w:ascii="Georgia" w:hAnsi="Georgia"/>
          <w:color w:val="000000" w:themeColor="text1"/>
          <w:sz w:val="20"/>
          <w:szCs w:val="20"/>
        </w:rPr>
        <w:t>scandals.Like</w:t>
      </w:r>
      <w:proofErr w:type="spellEnd"/>
      <w:proofErr w:type="gramEnd"/>
      <w:r w:rsidRPr="00E707F0">
        <w:rPr>
          <w:rFonts w:ascii="Georgia" w:hAnsi="Georgia"/>
          <w:color w:val="000000" w:themeColor="text1"/>
          <w:sz w:val="20"/>
          <w:szCs w:val="20"/>
        </w:rPr>
        <w:t xml:space="preserve"> in many other studies, measurement remained a topic where consensus is difficult to reach. Some researchers questioned the ESG scoring systems and what exactly is to be measured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{"citationID":"frE0HRYs","properties":{"formattedCitation":"(Drempetic et al., 2020)","plainCitation":"(Drempetic et al., 2020)","noteIndex":0},"citationItems":[{"id":5593,"uris":["http://zotero.org/users/6351501/items/443CQEUX"],"itemData":{"id":5593,"type":"article-journal","container-title":"Journal of Business Ethics","DOI":"10.1007/s10551-019-04164-1","ISSN":"0167-4544, 1573-0697","issue":"2","journalAbbreviation":"J Bus Ethics","language":"en","page":"333-360","source":"DOI.org (Crossref)","title":"The Influence of Firm Size on the ESG Score: Corporate Sustainability Ratings Under Review","title-short":"The Influence of Firm Size on the ESG Score","volume":"167","author":[{"family":"Drempetic","given":"Samuel"},{"family":"Klein","given":"Christian"},{"family":"Zwergel","given":"Bernhard"}],"issued":{"date-parts":[["2020",11]]}}}],"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(Drempetic et al., 2020)</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Subtle things like negative ESG coverage also drastically impact firms risk reduced credit risk ratings</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{"citationID":"bwSnF194","properties":{"formattedCitation":"(K\\uc0\\u246{}lbel et al., 2017)","plainCitation":"(Kölbel et al., 2017)","noteIndex":0},"citationItems":[{"id":5602,"uris":["http://zotero.org/users/6351501/items/D3KW8UKU"],"itemData":{"id":5602,"type":"article-journal","container-title":"Strategic Management Journal","DOI":"10.1002/smj.2647","ISSN":"01432095","issue":"11","journalAbbreviation":"Strat. Mgmt. J","language":"en","page":"2266-2284","source":"DOI.org (Crossref)","title":"How Media Coverage of Corporate Social Irresponsibility Increases Financial Risk: Media Coverage of Corporate Social Irresponsibility","title-short":"How Media Coverage of Corporate Social Irresponsibility Increases Financial Risk","volume":"38","author":[{"family":"Kölbel","given":"Julian F."},{"family":"Busch","given":"Timo"},{"family":"Jancso","given":"Leonhardt M."}],"issued":{"date-parts":[["2017",11]]}}}],"schema":"https://github.com/citation-style-language/schema/raw/master/csl-citation.json"}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(Kölbel et al., 2017)</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Media is found to be a monitor of external taxation, and hence, negative media coverage on ESG issues is negatively associated with tax avoidance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{"citationID":"VPeZ5O1U","properties":{"formattedCitation":"(Menicacci &amp; Simoni, 2024)","plainCitation":"(Menicacci &amp; Simoni, 2024)","noteIndex":0},"citationItems":[{"id":5625,"uris":["http://zotero.org/users/6351501/items/KUUS5HA3"],"itemData":{"id":5625,"type":"article-journal","abstract":"Purpose\n              This study aims to investigate the role of negative media coverage of environmental, social and governance (ESG) issues in deterring tax avoidance. Inspired by media agenda-setting theory and legitimacy theory, this study hypothesises that an increase in ESG negative media coverage should cause a reputational drawback, leading companies to reduce tax avoidance to regain their legitimacy. Hence, this study examines a novel channel that links ESG and taxation.\n            \n            \n              Design/methodology/approach\n              This study uses panel regression analysis to examine the relationship between negative media coverage of ESG issues and tax avoidance among the largest European entities. This study considers different measures of tax avoidance and negative media coverage.\n            \n            \n              Findings\n              The results show that negative media coverage of ESG issues is negatively associated with tax avoidance, suggesting that media can act as an external monitor for corporate taxation.\n            \n            \n              Practical implications\n              The findings have implications for policymakers and regulators, which should consider tax transparency when dealing with ESG disclosure requirements. Tax disclosure should be integrated into ESG reporting.\n            \n            \n              Social implications\n              The study has social implications related to the media, which act as watchdogs for firms’ irresponsible practices. According to this study’s findings, increased media pressure has the power to induce a better alignment between declared ESG policies and tax strategies.\n            \n            \n              Originality/value\n              This study contributes to the literature on the mechanisms that discourage tax avoidance and the literature on the relationship between ESG and taxation by shedding light on the role of media coverage.","container-title":"Sustainability Accounting, Management and Policy Journal","DOI":"10.1108/SAMPJ-01-2023-0024","ISSN":"2040-8021, 2040-8021","issue":"7","journalAbbreviation":"SAMPJ","language":"en","page":"1-33","source":"DOI.org (Crossref)","title":"Negative media coverage of ESG issues and corporate tax avoidance","volume":"15","author":[{"family":"Menicacci","given":"Luca"},{"family":"Simoni","given":"Lorenzo"}],"issued":{"date-parts":[["2024",2,9]]}}}],"schema":"https://github.com/citation-style-language/schema/raw/master/csl-citation.json"}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(Menicacci &amp; Simoni, 2024)</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79662CC5" w14:textId="77777777" w:rsidR="008E37A3" w:rsidRPr="00E707F0" w:rsidRDefault="008E37A3" w:rsidP="003D7AE4">
      <w:pPr>
        <w:pStyle w:val="ListParagraph"/>
        <w:numPr>
          <w:ilvl w:val="0"/>
          <w:numId w:val="1"/>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Impact of ESG performance on regulatory and legal developments</w:t>
      </w:r>
      <w:r w:rsidRPr="003D7AE4">
        <w:rPr>
          <w:rFonts w:ascii="Georgia" w:hAnsi="Georgia"/>
          <w:color w:val="2C336A"/>
          <w:sz w:val="20"/>
          <w:szCs w:val="20"/>
        </w:rPr>
        <w:t xml:space="preserve">: </w:t>
      </w:r>
      <w:r w:rsidRPr="00E707F0">
        <w:rPr>
          <w:rFonts w:ascii="Georgia" w:hAnsi="Georgia"/>
          <w:color w:val="000000" w:themeColor="text1"/>
          <w:sz w:val="20"/>
          <w:szCs w:val="20"/>
        </w:rPr>
        <w:t xml:space="preserve">This research theme examines how a company's ESG performance can influence regulatory and legal developments, such as introducing mandatory ESG disclosure requirements or stricter environmental regulations. Regulators might have to address the issue of large-sized firms because resources and the ability to make ESG disclosures are at an advantage over small firms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{"citationID":"VppzSfls","properties":{"formattedCitation":"(Drempetic et al., 2020)","plainCitation":"(Drempetic et al., 2020)","noteIndex":0},"citationItems":[{"id":5593,"uris":["http://zotero.org/users/6351501/items/443CQEUX"],"itemData":{"id":5593,"type":"article-journal","container-title":"Journal of Business Ethics","DOI":"10.1007/s10551-019-04164-1","ISSN":"0167-4544, 1573-0697","issue":"2","journalAbbreviation":"J Bus Ethics","language":"en","page":"333-360","source":"DOI.org (Crossref)","title":"The Influence of Firm Size on the ESG Score: Corporate Sustainability Ratings Under Review","title-short":"The Influence of Firm Size on the ESG Score","volume":"167","author":[{"family":"Drempetic","given":"Samuel"},{"family":"Klein","given":"Christian"},{"family":"Zwergel","given":"Bernhard"}],"issued":{"date-parts":[["2020",11]]}}}],"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(Drempetic et al., 2020)</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5FD08703" w14:textId="77777777" w:rsidR="008E37A3" w:rsidRPr="00E707F0" w:rsidRDefault="008E37A3" w:rsidP="003D7AE4">
      <w:pPr>
        <w:pStyle w:val="ListParagraph"/>
        <w:numPr>
          <w:ilvl w:val="0"/>
          <w:numId w:val="1"/>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Role of technology in enabling ESG performance</w:t>
      </w:r>
      <w:r w:rsidRPr="003D7AE4">
        <w:rPr>
          <w:rFonts w:ascii="Georgia" w:hAnsi="Georgia"/>
          <w:color w:val="2C336A"/>
          <w:sz w:val="20"/>
          <w:szCs w:val="20"/>
        </w:rPr>
        <w:t>:</w:t>
      </w:r>
      <w:r w:rsidRPr="00E707F0">
        <w:rPr>
          <w:rFonts w:ascii="Georgia" w:hAnsi="Georgia"/>
          <w:color w:val="000000" w:themeColor="text1"/>
          <w:sz w:val="20"/>
          <w:szCs w:val="20"/>
        </w:rPr>
        <w:t xml:space="preserve"> This research theme examines how technology can be used to improve ESG performance, such as through big data analytics to track and manage ESG risks or blockchain technology to ensure the transparency of supply </w:t>
      </w:r>
      <w:proofErr w:type="spellStart"/>
      <w:r w:rsidRPr="00E707F0">
        <w:rPr>
          <w:rFonts w:ascii="Georgia" w:hAnsi="Georgia"/>
          <w:color w:val="000000" w:themeColor="text1"/>
          <w:sz w:val="20"/>
          <w:szCs w:val="20"/>
        </w:rPr>
        <w:t>chains.Companies</w:t>
      </w:r>
      <w:proofErr w:type="spellEnd"/>
      <w:r w:rsidRPr="00E707F0">
        <w:rPr>
          <w:rFonts w:ascii="Georgia" w:hAnsi="Georgia"/>
          <w:color w:val="000000" w:themeColor="text1"/>
          <w:sz w:val="20"/>
          <w:szCs w:val="20"/>
        </w:rPr>
        <w:t xml:space="preserve"> with innovation and technology at the top can build differentiated products at reduced costs and hence witness improved performance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{"citationID":"8h5WqJB5","properties":{"formattedCitation":"(Yu et al., 2024)","plainCitation":"(Yu et al., 2024)","noteIndex":0},"citationItems":[{"id":5608,"uris":["http://zotero.org/users/6351501/items/3DD6D9FX"],"itemData":{"id":5608,"type":"article-journal","container-title":"Journal of the Knowledge Economy","DOI":"10.1007/s13132-024-01793-4","ISSN":"1868-7865, 1868-7873","journalAbbreviation":"J Knowl Econ","language":"en","source":"DOI.org (Crossref)","title":"Fostering High-Quality Corporate Development through ESG-Driven Technological Innovation: A Moderated Mediation Analysis","title-short":"Fostering High-Quality Corporate Development through ESG-Driven Technological Innovation","URL":"https://link.springer.com/10.1007/s13132-024-01793-4","author":[{"family":"Yu","given":"Peiyou"},{"family":"Zuo","given":"Zhiji"},{"family":"Lian","given":"Da"}],"accessed":{"date-parts":[["2024",2,25]]},"issued":{"date-parts":[["2024",2,17]]}}}],"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(Yu et al., 2024)</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ESG performance is found to increase the nature of a company's green innovation (Long et al., 2023), both in terms of quality and quantity. This was largely because of the effects of resources, governance, and innovation</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{"citationID":"zQyY8b0K","properties":{"formattedCitation":"(Zhang et al., 2024)","plainCitation":"(Zhang et al., 2024)","noteIndex":0},"citationItems":[{"id":5604,"uris":["http://zotero.org/users/6351501/items/YK9NF74Z"],"itemData":{"id":5604,"type":"article-journal","container-title":"Journal of Environmental Management","DOI":"10.1016/j.jenvman.2024.120272","ISSN":"03014797","journalAbbreviation":"Journal of Environmental Management","language":"en","page":"120272","source":"DOI.org (Crossref)","title":"Quantity and quality: The impact of environmental, social, and governance (ESG) performance on corporate green innovation","title-short":"Quantity and quality","volume":"354","author":[{"family":"Zhang","given":"Hua"},{"family":"Lai","given":"Jie"},{"family":"Jie","given":"Shuijing"}],"issued":{"date-parts":[["2024",3]]}}}],"schema":"https://github.com/citation-style-language/schema/raw/master/csl-citation.json"}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(Zhang et al., 2024)</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Companies, of course, will need a sense of solid environmental commitment to have an edge in innovation and long-term sustainable growth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{"citationID":"RpHjjV8L","properties":{"formattedCitation":"(Kenneth David et al., 2024)","plainCitation":"(Kenneth David et al., 2024)","noteIndex":0},"citationItems":[{"id":5605,"uris":["http://zotero.org/users/6351501/items/GTTBD298"],"itemData":{"id":5605,"type":"article-journal","container-title":"Journal of Environmental Management","DOI":"10.1016/j.jenvman.2023.119529","ISSN":"03014797","journalAbbreviation":"Journal of Environmental Management","language":"en","page":"119529","source":"DOI.org (Crossref)","title":"Environmental commitments and Innovation in China's corporate landscape: An analysis of ESG governance strategies","title-short":"Environmental commitments and Innovation in China's corporate landscape","volume":"349","author":[{"family":"Kenneth David","given":"Lemuel"},{"family":"Wang","given":"Jianling"},{"family":"Angel","given":"Vanessa"},{"family":"Luo","given":"Meiling"}],"issued":{"date-parts":[["2024",1]]}}}],"schema":"https://github.com/citation-style-language/schema/raw/master/csl-citation.json"}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(Kenneth David et al., 2024)</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Another exciting factor is developing a culture of digital inclusive finance that helps the company </w:t>
      </w:r>
      <w:proofErr w:type="spellStart"/>
      <w:r w:rsidRPr="00E707F0">
        <w:rPr>
          <w:rFonts w:ascii="Georgia" w:hAnsi="Georgia"/>
          <w:color w:val="000000" w:themeColor="text1"/>
          <w:sz w:val="20"/>
          <w:szCs w:val="20"/>
        </w:rPr>
        <w:t>embrance</w:t>
      </w:r>
      <w:proofErr w:type="spellEnd"/>
      <w:r w:rsidRPr="00E707F0">
        <w:rPr>
          <w:rFonts w:ascii="Georgia" w:hAnsi="Georgia"/>
          <w:color w:val="000000" w:themeColor="text1"/>
          <w:sz w:val="20"/>
          <w:szCs w:val="20"/>
        </w:rPr>
        <w:t xml:space="preserve"> green technology, positively impacting corporate ESG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{"citationID":"ypqU7JqY","properties":{"formattedCitation":"(W. Li &amp; Pang, 2023)","plainCitation":"(W. Li &amp; Pang, 2023)","noteIndex":0},"citationItems":[{"id":5606,"uris":["http://zotero.org/users/6351501/items/4PWJKF9B"],"itemData":{"id":5606,"type":"article-journal","container-title":"Environmental Science and Pollution Research","DOI":"10.1007/s11356-023-27057-3","ISSN":"1614-7499","issue":"24","journalAbbreviation":"Environ Sci Pollut Res","language":"en","page":"65314-65327","source":"DOI.org (Crossref)","title":"The impact of digital inclusive finance on corporate ESG performance: based on the perspective of corporate green technology innovation","title-short":"The impact of digital inclusive finance on corporate ESG performance","volume":"30","author":[{"family":"Li","given":"Wenqi"},{"family":"Pang","given":"Wenbin"}],"issued":{"date-parts":[["2023",4,21]]}}}],"schema":"https://github.com/citation-style-language/schema/raw/master/csl-citation.json"}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(W. Li &amp; Pang, 2023)</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.Industry 5.0 and its related technologies promote human centricity, sustainability, and resilience as a philosophy. These value-oriented topics enhance ESG disclosures, allowing companies to address a few ESG limitations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{"citationID":"OtCY7bO0","properties":{"formattedCitation":"(Asif et al., 2023)","plainCitation":"(Asif et al., 2023)","noteIndex":0},"citationItems":[{"id":5622,"uris":["http://zotero.org/users/6351501/items/TWPY3LJC"],"itemData":{"id":5622,"type":"article-journal","container-title":"Technological Forecasting and Social Change","DOI":"10.1016/j.techfore.2023.122806","ISSN":"00401625","journalAbbreviation":"Technological Forecasting and Social Change","language":"en","page":"122806","source":"DOI.org (Crossref)","title":"ESG and Industry 5.0: The role of technologies in enhancing ESG disclosure","title-short":"ESG and Industry 5.0","volume":"195","author":[{"family":"Asif","given":"Muhammad"},{"family":"Searcy","given":"Cory"},{"family":"Castka","given":"Pavel"}],"issued":{"date-parts":[["2023",10]]}}}],"schema":"https://github.com/citation-style-language/schema/raw/master/csl-citation.json"}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(Asif et al., 2023)</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5DD86B42" w14:textId="77777777" w:rsidR="008E37A3" w:rsidRPr="00E707F0" w:rsidRDefault="008E37A3" w:rsidP="003D7AE4">
      <w:pPr>
        <w:pStyle w:val="ListParagraph"/>
        <w:numPr>
          <w:ilvl w:val="0"/>
          <w:numId w:val="1"/>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Development of global ESG standards and frameworks</w:t>
      </w:r>
      <w:r w:rsidRPr="003D7AE4">
        <w:rPr>
          <w:rFonts w:ascii="Georgia" w:hAnsi="Georgia"/>
          <w:color w:val="2C336A"/>
          <w:sz w:val="20"/>
          <w:szCs w:val="20"/>
        </w:rPr>
        <w:t>:</w:t>
      </w:r>
      <w:r w:rsidRPr="00E707F0">
        <w:rPr>
          <w:rFonts w:ascii="Georgia" w:hAnsi="Georgia"/>
          <w:color w:val="000000" w:themeColor="text1"/>
          <w:sz w:val="20"/>
          <w:szCs w:val="20"/>
        </w:rPr>
        <w:t xml:space="preserve"> This research theme examines the development of global ESG standards and </w:t>
      </w:r>
      <w:proofErr w:type="spellStart"/>
      <w:r w:rsidRPr="00E707F0">
        <w:rPr>
          <w:rFonts w:ascii="Georgia" w:hAnsi="Georgia"/>
          <w:color w:val="000000" w:themeColor="text1"/>
          <w:sz w:val="20"/>
          <w:szCs w:val="20"/>
        </w:rPr>
        <w:t>frameworksand</w:t>
      </w:r>
      <w:proofErr w:type="spellEnd"/>
      <w:r w:rsidRPr="00E707F0">
        <w:rPr>
          <w:rFonts w:ascii="Georgia" w:hAnsi="Georgia"/>
          <w:color w:val="000000" w:themeColor="text1"/>
          <w:sz w:val="20"/>
          <w:szCs w:val="20"/>
        </w:rPr>
        <w:t xml:space="preserve"> their impact on corporate governance and ESG practices. The lack of proper standards in ESG reporting has been a severe impediment. Studies have also shown that negative screening has been less beneficial to investing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{"citationID":"A3KVjc2d","properties":{"formattedCitation":"(Amel-Zadeh &amp; Serafeim, 2018)","plainCitation":"(Amel-Zadeh &amp; Serafeim, 2018)","noteIndex":0},"citationItems":[{"id":5597,"uris":["http://zotero.org/users/6351501/items/UGH4ZHWE"],"itemData":{"id":5597,"type":"article-journal","container-title":"Financial Analysts Journal","DOI":"10.2469/faj.v74.n3.2","ISSN":"0015-198X, 1938-3312","issue":"3","journalAbbreviation":"Financial Analysts Journal","language":"en","page":"87-103","source":"DOI.org (Crossref)","title":"Why and How Investors Use ESG Information: Evidence from a Global Survey","title-short":"Why and How Investors Use ESG Information","volume":"74","author":[{"family":"Amel-Zadeh","given":"Amir"},{"family":"Serafeim","given":"George"}],"issued":{"date-parts":[["2018",7,1]]}}}],"schema":"https://github.com/citation-style-language/schema/raw/master/csl-citation.json"}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(Amel-Zadeh &amp; Serafeim, 2018)</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Several studies focused on the Global Reporting Initiative (GRI) and Sustainability Accounting Standards Board (SASB) standards. The frameworks have a profound impact, and companies implementing them </w:t>
      </w:r>
      <w:r w:rsidRPr="00E707F0">
        <w:rPr>
          <w:rFonts w:ascii="Georgia" w:hAnsi="Georgia"/>
          <w:color w:val="000000" w:themeColor="text1"/>
          <w:sz w:val="20"/>
          <w:szCs w:val="20"/>
        </w:rPr>
        <w:lastRenderedPageBreak/>
        <w:t xml:space="preserve">have a positive impact on factors such as trust and accountability and get promoted with sustainable growth. With several rating firms now in this business and each of them having its own methodology, serious divergences in ratings have begun to occur. Studies found the key areas for divergence to be measurement (56%), scope (38%), and weightage(6%)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{"citationID":"XbpXQm3Z","properties":{"formattedCitation":"(Berg et al., 2022)","plainCitation":"(Berg et al., 2022)","noteIndex":0},"citationItems":[{"id":5600,"uris":["http://zotero.org/users/6351501/items/DREHPKRL"],"itemData":{"id":5600,"type":"article-journal","abstract":"Abstract\n            This paper investigates the divergence of environmental, social, and governance (ESG) ratings based on data from six prominent ESG rating agencies: Kinder, Lydenberg, and Domini (KLD), Sustainalytics, Moody’s ESG (Vigeo-Eiris), S&amp;P Global (RobecoSAM), Refinitiv (Asset4), and MSCI. We document the rating divergence and map the different methodologies onto a common taxonomy of categories. Using this taxonomy, we decompose the divergence into contributions of scope, measurement, and weight. Measurement contributes 56% of the divergence, scope 38%, and weight 6%. Further analyzing the reasons for measurement divergence, we detect a rater effect where a rater’s overall view of a firm influences the measurement of specific categories. The results call for greater attention to how the data underlying ESG ratings are generated.","container-title":"Review of Finance","DOI":"10.1093/rof/rfac033","ISSN":"1572-3097, 1573-692X","issue":"6","language":"en","page":"1315-1344","source":"DOI.org (Crossref)","title":"Aggregate Confusion: The Divergence of ESG Ratings","title-short":"Aggregate Confusion","volume":"26","author":[{"family":"Berg","given":"Florian"},{"family":"Kölbel","given":"Julian F"},{"family":"Rigobon","given":"Roberto"}],"issued":{"date-parts":[["2022",11,14]]}}}],"schema":"https://github.com/citation-style-language/schema/raw/master/csl-citation.json"}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(Berg et al., 2022)</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5297B5C4" w14:textId="77777777" w:rsidR="008E37A3" w:rsidRPr="00E707F0" w:rsidRDefault="008E37A3" w:rsidP="003D7AE4">
      <w:pPr>
        <w:pStyle w:val="ListParagraph"/>
        <w:numPr>
          <w:ilvl w:val="0"/>
          <w:numId w:val="1"/>
        </w:numPr>
        <w:spacing w:after="0" w:line="240" w:lineRule="auto"/>
        <w:ind w:left="426" w:hanging="426"/>
        <w:rPr>
          <w:rFonts w:ascii="Georgia" w:hAnsi="Georgia"/>
          <w:color w:val="000000" w:themeColor="text1"/>
          <w:sz w:val="20"/>
          <w:szCs w:val="20"/>
        </w:rPr>
      </w:pPr>
      <w:r w:rsidRPr="003D7AE4">
        <w:rPr>
          <w:rFonts w:ascii="Georgia" w:hAnsi="Georgia"/>
          <w:b/>
          <w:bCs/>
          <w:color w:val="2C336A"/>
          <w:sz w:val="20"/>
          <w:szCs w:val="20"/>
        </w:rPr>
        <w:t>Future of ESG and its implications for corporate governance</w:t>
      </w:r>
      <w:r w:rsidRPr="003D7AE4">
        <w:rPr>
          <w:rFonts w:ascii="Georgia" w:hAnsi="Georgia"/>
          <w:color w:val="2C336A"/>
          <w:sz w:val="20"/>
          <w:szCs w:val="20"/>
        </w:rPr>
        <w:t>:</w:t>
      </w:r>
      <w:r w:rsidRPr="00E707F0">
        <w:rPr>
          <w:rFonts w:ascii="Georgia" w:hAnsi="Georgia"/>
          <w:color w:val="000000" w:themeColor="text1"/>
          <w:sz w:val="20"/>
          <w:szCs w:val="20"/>
        </w:rPr>
        <w:t xml:space="preserve"> This research theme examines the future of ESG and its potential implications for corporate governance, such as the increasing role of stakeholders in corporate decision-making and the development of new governance models more responsive to ESG considerations. While Corporate Governance does have a positive impact on ESG, the reverse can also be true. So, the overall processes are cyclical. Several research papers, especially those related to the literature review, are found to compile a list of future directions on the topic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{"citationID":"FewLnaNO","properties":{"formattedCitation":"(Benuzzi et al., 2024; Galletta et al., 2022; Shen et al., 2023)","plainCitation":"(Benuzzi et al., 2024; Galletta et al., 2022; Shen et al., 2023)","noteIndex":0},"citationItems":[{"id":5611,"uris":["http://zotero.org/users/6351501/items/X8LYXY45"],"itemData":{"id":5611,"type":"article-journal","container-title":"Journal of Behavioral and Experimental Finance","DOI":"10.1016/j.jbef.2023.100882","ISSN":"22146350","journalAbbreviation":"Journal of Behavioral and Experimental Finance","language":"en","page":"100882","source":"DOI.org (Crossref)","title":"Which ESG+F dimension matters most to retail investors? An experimental study on financial decisions and future generations","title-short":"Which ESG+F dimension matters most to retail investors?","volume":"41","author":[{"family":"Benuzzi","given":"Matteo"},{"family":"Klaser","given":"Klaudijo"},{"family":"Bax","given":"Karoline"}],"issued":{"date-parts":[["2024",3]]}}},{"id":5612,"uris":["http://zotero.org/users/6351501/items/THZP826K"],"itemData":{"id":5612,"type":"article-journal","container-title":"Research in International Business and Finance","DOI":"10.1016/j.ribaf.2022.101684","ISSN":"02755319","journalAbbreviation":"Research in International Business and Finance","language":"en","page":"101684","source":"DOI.org (Crossref)","title":"A bibliometric analysis of ESG performance in the banking industry: From the current status to future directions","title-short":"A bibliometric analysis of ESG performance in the banking industry","volume":"62","author":[{"family":"Galletta","given":"Simona"},{"family":"Mazzù","given":"Sebastiano"},{"family":"Naciti","given":"Valeria"}],"issued":{"date-parts":[["2022",12]]}}},{"id":5610,"uris":["http://zotero.org/users/6351501/items/IK4SUK9A"],"itemData":{"id":5610,"type":"article-journal","container-title":"China Journal of Accounting Research","DOI":"10.1016/j.cjar.2023.100325","ISSN":"17553091","issue":"4","journalAbbreviation":"China Journal of Accounting Research","language":"en","page":"100325","source":"DOI.org (Crossref)","title":"ESG in China: A review of practice and research, and future research avenues","title-short":"ESG in China","volume":"16","author":[{"family":"Shen","given":"Hongtao"},{"family":"Lin","given":"Honghui"},{"family":"Han","given":"Wenqi"},{"family":"Wu","given":"Huiying"}],"issued":{"date-parts":[["2023",12]]}}}],"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(Benuzzi et al., 2024; Galletta et al., 2022; Shen et al., 2023)</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7ABAEE13" w14:textId="77777777" w:rsidR="003D7AE4" w:rsidRDefault="003D7AE4" w:rsidP="003D7AE4">
      <w:pPr>
        <w:pStyle w:val="Heading2"/>
        <w:spacing w:after="0" w:line="240" w:lineRule="auto"/>
        <w:ind w:left="284" w:hanging="284"/>
        <w:rPr>
          <w:rFonts w:ascii="Georgia" w:hAnsi="Georgia"/>
          <w:color w:val="000000" w:themeColor="text1"/>
          <w:sz w:val="20"/>
          <w:szCs w:val="20"/>
        </w:rPr>
      </w:pPr>
    </w:p>
    <w:p w14:paraId="21250489" w14:textId="5E90F95B" w:rsidR="008E37A3" w:rsidRPr="003D7AE4" w:rsidRDefault="008E37A3" w:rsidP="003D7AE4">
      <w:pPr>
        <w:pStyle w:val="Heading2"/>
        <w:spacing w:after="0" w:line="240" w:lineRule="auto"/>
        <w:ind w:left="284" w:hanging="284"/>
        <w:rPr>
          <w:rFonts w:ascii="Georgia" w:hAnsi="Georgia"/>
          <w:color w:val="2C336A"/>
          <w:sz w:val="20"/>
          <w:szCs w:val="20"/>
        </w:rPr>
      </w:pPr>
      <w:r w:rsidRPr="003D7AE4">
        <w:rPr>
          <w:rFonts w:ascii="Georgia" w:hAnsi="Georgia"/>
          <w:color w:val="2C336A"/>
          <w:sz w:val="20"/>
          <w:szCs w:val="20"/>
        </w:rPr>
        <w:t>Theories, Frameworks &amp; Perspectives</w:t>
      </w:r>
    </w:p>
    <w:p w14:paraId="242BB790" w14:textId="77777777" w:rsidR="008E37A3" w:rsidRPr="00E707F0" w:rsidRDefault="008E37A3" w:rsidP="003D7AE4">
      <w:pPr>
        <w:spacing w:after="0" w:line="240" w:lineRule="auto"/>
        <w:rPr>
          <w:rFonts w:ascii="Georgia" w:hAnsi="Georgia"/>
          <w:color w:val="000000" w:themeColor="text1"/>
          <w:sz w:val="20"/>
          <w:szCs w:val="20"/>
        </w:rPr>
      </w:pPr>
      <w:r w:rsidRPr="00E707F0">
        <w:rPr>
          <w:rFonts w:ascii="Georgia" w:hAnsi="Georgia"/>
          <w:color w:val="000000" w:themeColor="text1"/>
          <w:sz w:val="20"/>
          <w:szCs w:val="20"/>
        </w:rPr>
        <w:t xml:space="preserve">The top 10 theoretical connections, frameworks, and perspectives identified from the study connecting Corporate Governance with ESG were discussed in this section. While theories are still emerging owing to the recent and emerging topic, few </w:t>
      </w:r>
      <w:proofErr w:type="spellStart"/>
      <w:r w:rsidRPr="00E707F0">
        <w:rPr>
          <w:rFonts w:ascii="Georgia" w:hAnsi="Georgia"/>
          <w:color w:val="000000" w:themeColor="text1"/>
          <w:sz w:val="20"/>
          <w:szCs w:val="20"/>
        </w:rPr>
        <w:t>frameworksare</w:t>
      </w:r>
      <w:proofErr w:type="spellEnd"/>
      <w:r w:rsidRPr="00E707F0">
        <w:rPr>
          <w:rFonts w:ascii="Georgia" w:hAnsi="Georgia"/>
          <w:color w:val="000000" w:themeColor="text1"/>
          <w:sz w:val="20"/>
          <w:szCs w:val="20"/>
        </w:rPr>
        <w:t xml:space="preserve"> currently available that offer useful insights into the relationship between Corporate Governance and ESG. However, these frameworks are not mutually exclusive. This allows researchers to combine to provide a comprehensive understanding of the </w:t>
      </w:r>
      <w:proofErr w:type="spellStart"/>
      <w:r w:rsidRPr="00E707F0">
        <w:rPr>
          <w:rFonts w:ascii="Georgia" w:hAnsi="Georgia"/>
          <w:color w:val="000000" w:themeColor="text1"/>
          <w:sz w:val="20"/>
          <w:szCs w:val="20"/>
        </w:rPr>
        <w:t>topic.Some</w:t>
      </w:r>
      <w:proofErr w:type="spellEnd"/>
      <w:r w:rsidRPr="00E707F0">
        <w:rPr>
          <w:rFonts w:ascii="Georgia" w:hAnsi="Georgia"/>
          <w:color w:val="000000" w:themeColor="text1"/>
          <w:sz w:val="20"/>
          <w:szCs w:val="20"/>
        </w:rPr>
        <w:t xml:space="preserve"> studies integrated theories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{"citationID":"s2IGQ2nI","properties":{"formattedCitation":"(Huang, 2022)","plainCitation":"(Huang, 2022)","noteIndex":0},"citationItems":[{"id":5640,"uris":["http://zotero.org/users/6351501/items/RRDENDUQ"],"itemData":{"id":5640,"type":"article-journal","abstract":"Abstract\n            The literature seeking to explain why firms conduct environmental, social and governance (ESG) activity is substantial and growing but remains underdeveloped. This paper offers a holistic and multi</w:instrText>
      </w:r>
      <w:r w:rsidRPr="00E707F0">
        <w:rPr>
          <w:color w:val="000000" w:themeColor="text1"/>
          <w:sz w:val="20"/>
          <w:szCs w:val="20"/>
        </w:rPr>
        <w:instrText>‐</w:instrText>
      </w:r>
      <w:r w:rsidRPr="00E707F0">
        <w:rPr>
          <w:rFonts w:ascii="Georgia" w:hAnsi="Georgia"/>
          <w:color w:val="000000" w:themeColor="text1"/>
          <w:sz w:val="20"/>
          <w:szCs w:val="20"/>
        </w:rPr>
        <w:instrText>disciplinary theoretical framework to situate ESG activity as integral to firm performance. Drawing on established theories of the firm, these theories together assist the firm identify salient stakeholders, and how their contributions and claims may be integrated into firm activity. This approach places ESG considerations as an important element of firm activity in terms of developing and maintaining a firm</w:instrText>
      </w:r>
      <w:r w:rsidRPr="00E707F0">
        <w:rPr>
          <w:rFonts w:ascii="Georgia" w:hAnsi="Georgia" w:cs="Georgia"/>
          <w:color w:val="000000" w:themeColor="text1"/>
          <w:sz w:val="20"/>
          <w:szCs w:val="20"/>
        </w:rPr>
        <w:instrText>’</w:instrText>
      </w:r>
      <w:r w:rsidRPr="00E707F0">
        <w:rPr>
          <w:rFonts w:ascii="Georgia" w:hAnsi="Georgia"/>
          <w:color w:val="000000" w:themeColor="text1"/>
          <w:sz w:val="20"/>
          <w:szCs w:val="20"/>
        </w:rPr>
        <w:instrText>s social licence, the way it manages risks, and building competitive advantage.","container-title":"Accounting &amp; Finance","DOI":"10.1111/acfi.12832","ISSN":"0810-5391, 1467-629X","issue":"S1","journalAbbreviation":"Accounting &amp; Finance","language":"en","page":"1567-1598","source":"DOI.org (Crossref)","title":"An integrated theory of the firm approach to environmental, social and governance performance","volume":"62","author":[{"family":"Huang","given":"Danny Zhao</w:instrText>
      </w:r>
      <w:r w:rsidRPr="00E707F0">
        <w:rPr>
          <w:color w:val="000000" w:themeColor="text1"/>
          <w:sz w:val="20"/>
          <w:szCs w:val="20"/>
        </w:rPr>
        <w:instrText>‐</w:instrText>
      </w:r>
      <w:r w:rsidRPr="00E707F0">
        <w:rPr>
          <w:rFonts w:ascii="Georgia" w:hAnsi="Georgia"/>
          <w:color w:val="000000" w:themeColor="text1"/>
          <w:sz w:val="20"/>
          <w:szCs w:val="20"/>
        </w:rPr>
        <w:instrText xml:space="preserve">Xiang"}],"issued":{"date-parts":[["2022",4]]}}}],"schema":"https://github.com/citation-style-language/schema/raw/master/csl-citation.json"}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(Huang, 2022)</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while others worked by connecting theories, such as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{"citationID":"CqEEB4xa","properties":{"formattedCitation":"(Z. Liu et al., 2022)","plainCitation":"(Z. Liu et al., 2022)","noteIndex":0},"citationItems":[{"id":5636,"uris":["http://zotero.org/users/6351501/items/PSCQ4RJB"],"itemData":{"id":5636,"type":"article-journal","abstract":"Environmental, social, and governance (ESG) disclosure plays a critical role in promoting corporations’ abilities to achieve sustainable development. Previous research has focused on the concept, antecedents, and consequences of ESG disclosure, ignoring that there are significant differences in ESG disclosure strategies of corporations and providing even less understanding of how corporations adopt ESG disclosure strategies.Therefore, we identify the factors and mechanisms of ESG disclosure strategy adoption in context of stakeholders. Using new institutional theory (NIT) and resource dependence theory (RDT), we suggest that goals compatibility and resources dependence are the 2 critical factors that affect a corporation’s ESG disclosure strategy adoption. Accordingly, we construct a framework of corporations’ ESG disclosure strategies adoption. We address the gaps in understanding of ESG disclosure strategies adoption of corporations, expand NIT and RDT, and provide rich practical guidance to promote the healthy development of ESG disclosure strategies.","container-title":"Elementa: Science of the Anthropocene","DOI":"10.1525/elementa.2022.00044","ISSN":"2325-1026","issue":"1","language":"en","page":"00044","source":"DOI.org (Crossref)","title":"Stakeholders and ESG disclosure strategies adoption: The role of goals compatibility and resources dependence","title-short":"Stakeholders and ESG disclosure strategies adoption","volume":"10","author":[{"family":"Liu","given":"Zhiyang"},{"family":"Zheng","given":"Ruoyu"},{"family":"Qiu","given":"Zhenyu"},{"family":"Jiang","given":"Xiaodong"}],"issued":{"date-parts":[["2022",11,16]]}}}],"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(Z. Liu et al., 2022)</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for example, where the connectedness of Resource Development Theory (RDT) was explored with New Institutional Theory (NIT). Some works focused on specific theories and dimensions of ESG, such as disclosure and ESG accounting (Del Gesso &amp; Lodhi, 2024), while a few others are broad in scope. Of course, the quest for a single theory to explain managerial motives for sustainable disclosures was never-ending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{"citationID":"VfRokhPT","properties":{"formattedCitation":"(T. Mahmud, 2020)","plainCitation":"(T. Mahmud, 2020)","noteIndex":0},"citationItems":[{"id":5631,"uris":["http://zotero.org/users/6351501/items/UH4ES79R"],"itemData":{"id":5631,"type":"article-journal","language":"en","source":"Zotero","title":"Quest for a Single Theory to Explain Managerial Motivations for Sustainability Disclosures: Legitimacy Theory, Stakeholder Theory or Institutional Theory","URL":"https://jaias.org/content/files/pdf/academic_records/2019bulletin/12.pdf","author":[{"family":"Mahmud","given":"Tapan"}],"issued":{"date-parts":[["2020"]]}}}],"schema":"https://github.com/citation-style-language/schema/raw/master/csl-citation.json"}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(T. Mahmud, 2020)</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3C2DE734" w14:textId="77777777" w:rsidR="008E37A3" w:rsidRPr="00E707F0" w:rsidRDefault="008E37A3" w:rsidP="003D7AE4">
      <w:pPr>
        <w:pStyle w:val="ListParagraph"/>
        <w:numPr>
          <w:ilvl w:val="0"/>
          <w:numId w:val="2"/>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Agency Theory</w:t>
      </w:r>
      <w:r w:rsidRPr="003D7AE4">
        <w:rPr>
          <w:rFonts w:ascii="Georgia" w:hAnsi="Georgia"/>
          <w:color w:val="2C336A"/>
          <w:sz w:val="20"/>
          <w:szCs w:val="20"/>
        </w:rPr>
        <w:t>:</w:t>
      </w:r>
      <w:r w:rsidRPr="00E707F0">
        <w:rPr>
          <w:rFonts w:ascii="Georgia" w:hAnsi="Georgia"/>
          <w:color w:val="000000" w:themeColor="text1"/>
          <w:sz w:val="20"/>
          <w:szCs w:val="20"/>
        </w:rPr>
        <w:t xml:space="preserve"> This theory posits that managers act in their self-interest, potentially neglecting the interests of shareholders. Strong corporate governance, including independent boards and robust oversight, can mitigate this agency problem and ensure that ESG considerations are factored into decision-making for long-term shareholder value creation. The evidence connecting ESG and Agency Theory is not straightforward and is mixed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{"citationID":"ugJxR5Ub","properties":{"formattedCitation":"(Adeneye et al., 2024; Lee &amp; Isa, 2020)","plainCitation":"(Adeneye et al., 2024; Lee &amp; Isa, 2020)","noteIndex":0},"citationItems":[{"id":5619,"uris":["http://zotero.org/users/6351501/items/SF2NP9LI"],"itemData":{"id":5619,"type":"article-journal","container-title":"International Journal of Disclosure and Governance","DOI":"10.1057/s41310-023-00181-9","ISSN":"1741-3591, 1746-6539","issue":"1","journalAbbreviation":"Int J Discl Gov","language":"en","page":"69-92","source":"DOI.org (Crossref)","title":"Does earnings management constrain ESG performance? The role of corporate governance","title-short":"Does earnings management constrain ESG performance?","volume":"21","author":[{"family":"Adeneye","given":"Yusuf Babatunde"},{"family":"Fasihi","given":"Setareh"},{"family":"Kammoun","given":"Ines"},{"family":"Albitar","given":"Khaldoon"}],"issued":{"date-parts":[["2024",3]]}}},{"id":5613,"uris":["http://zotero.org/users/6351501/items/CINCD5QK"],"itemData":{"id":5613,"type":"article-journal","container-title":"Asian Academy of Management Journal of Accounting and Finance","DOI":"10.21315/aamjaf2020.16.1.1","ISSN":"18234992, 21804192","issue":"1","journalAbbreviation":"AAMJAF","page":"1-34","source":"DOI.org (Crossref)","title":"Environmental, Social and Governance (ESG) Practices and Performance in Shariah Firms: Agency or Stakeholder Theory?","title-short":"Environmental, Social and Governance (ESG) Practices and Performance in Shariah Firms","volume":"16","author":[{"family":"Lee","given":"Siew Peng"},{"family":"Isa","given":"Mansor"}],"issued":{"date-parts":[["2020",8,14]]}}}],"schema":"https://github.com/citation-style-language/schema/raw/master/csl-citation.json"}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(Adeneye et al., 2024; Lee &amp; Isa, 2020)</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Few studies went into specific dimensions (or variants or flavors) of agency theory – such as agency cost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{"citationID":"MlCZklbK","properties":{"formattedCitation":"(Tang, 2022)","plainCitation":"(Tang, 2022)","noteIndex":0},"citationItems":[{"id":5615,"uris":["http://zotero.org/users/6351501/items/D9AJMM9D"],"itemData":{"id":5615,"type":"article-journal","abstract":"The effectiveness of environmental, social, and corporate governance (ESG) performance has been widely discussed and is often linked to corporate financial performance or firm value by academics and practitioners. However, a significant research gap remains unexplored; specifically, prior scholars have ignored path research about the effect of ESG performance on corporate innovation, and they have also ignored the impacts of the heterogeneity of stakeholders. Therefore, taking China’s A-share listed companies as an example, the research applied linear regressions with panel data, using the ESG rating of SynTao Green Finance Agency as a proxy variable of ESG performance. The results show that ESG performance significantly promotes the quantity and quality of corporate innovation and is mediated by alleviating the financial constraints and agency cost. Internal and external governance plays different roles; the higher institutional investors’ attention as an external governance form does not help enterprises improve the quantity and quality of corporate innovation; however, CEO duality as an internal governance form strengthens the effect of ESG performance on corporate innovation. This study provides scientific evidence for the effect and effect path of ESG performance on promoting proactive innovation based on sustainable development in China; furthermore, the study reveals the heterogeneity factors of ESG performance on the innovation effect under stakeholder theory.","container-title":"Sustainability","DOI":"10.3390/su14073769","ISSN":"2071-1050","issue":"7","journalAbbreviation":"Sustainability","language":"en","page":"3769","source":"DOI.org (Crossref)","title":"The Effect of ESG Performance on Corporate Innovation in China: The Mediating Role of Financial Constraints and Agency Cost","title-short":"The Effect of ESG Performance on Corporate Innovation in China","volume":"14","author":[{"family":"Tang","given":"Hua"}],"issued":{"date-parts":[["2022",3,23]]}}}],"schema":"https://github.com/citation-style-language/schema/raw/master/csl-citation.json"}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(Tang, 2022)</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or agency problems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{"citationID":"HCU460o0","properties":{"formattedCitation":"(Espinosa-M\\uc0\\u233{}ndez et al., 2023)","plainCitation":"(Espinosa-Méndez et al., 2023)","noteIndex":0},"citationItems":[{"id":5617,"uris":["http://zotero.org/users/6351501/items/K27BD7Y8"],"itemData":{"id":5617,"type":"article-journal","abstract":"The main objective of this research is to shed more light on how ESG may be seen as a valuable investment for family firms. We study the impact of ESG performance on the value of family firms by considering the moderating role played by financial constraints and agency costs. Using an international sample of 254 firms that belong to the 500 largest family-owned firms worldwide over the period 2015–2021, we report that the overall ESG score is positively associated with firm value. Among the three ESG components, we find that environmental and social performances have a positive and statistically significant impact on firm value. However, we find no evidence of any significant effect of governance score on firm value. More importantly, we also find that the impact of ESG performance on firm value is lower under the presence of financial constraints and agency costs.","container-title":"Sustainability","DOI":"10.3390/su15076176","ISSN":"2071-1050","issue":"7","journalAbbreviation":"Sustainability","language":"en","page":"6176","source":"DOI.org (Crossref)","title":"The Impact of ESG Performance on the Value of Family Firms: The Moderating Role of Financial Constraints and Agency Problems","title-short":"The Impact of ESG Performance on the Value of Family Firms","volume":"15","author":[{"family":"Espinosa-Méndez","given":"Christian"},{"family":"Maquieira","given":"Carlos P."},{"family":"Arias","given":"José T."}],"issued":{"date-parts":[["2023",4,3]]}}}],"schema":"https://github.com/citation-style-language/schema/raw/master/csl-citation.json"}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(Espinosa-Méndez et al., 2023)</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480B9234" w14:textId="77777777" w:rsidR="008E37A3" w:rsidRPr="00E707F0" w:rsidRDefault="008E37A3" w:rsidP="003D7AE4">
      <w:pPr>
        <w:pStyle w:val="ListParagraph"/>
        <w:numPr>
          <w:ilvl w:val="0"/>
          <w:numId w:val="2"/>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Stakeholder Theory</w:t>
      </w:r>
      <w:r w:rsidRPr="003D7AE4">
        <w:rPr>
          <w:rFonts w:ascii="Georgia" w:hAnsi="Georgia"/>
          <w:color w:val="2C336A"/>
          <w:sz w:val="20"/>
          <w:szCs w:val="20"/>
        </w:rPr>
        <w:t>:</w:t>
      </w:r>
      <w:r w:rsidRPr="00E707F0">
        <w:rPr>
          <w:rFonts w:ascii="Georgia" w:hAnsi="Georgia"/>
          <w:color w:val="000000" w:themeColor="text1"/>
          <w:sz w:val="20"/>
          <w:szCs w:val="20"/>
        </w:rPr>
        <w:t xml:space="preserve"> The theory challenges the traditional view of shareholder primacy, which prioritizes the interests of shareholders above all others and instead promotes a more holistic and inclusive approach to corporate governance and social responsibility. Integrating ESG considerations demonstrates a company's commitment to its stakeholders, including employees, customers, communities, and the environment, fostering trust and long-term sustainability. The evidence regarding linkages between ESG and stakeholder theory are straightforward and well-established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{"citationID":"CgwqX6po","properties":{"formattedCitation":"(Lee &amp; Isa, 2020)","plainCitation":"(Lee &amp; Isa, 2020)","noteIndex":0},"citationItems":[{"id":5613,"uris":["http://zotero.org/users/6351501/items/CINCD5QK"],"itemData":{"id":5613,"type":"article-journal","container-title":"Asian Academy of Management Journal of Accounting and Finance","DOI":"10.21315/aamjaf2020.16.1.1","ISSN":"18234992, 21804192","issue":"1","journalAbbreviation":"AAMJAF","page":"1-34","source":"DOI.org (Crossref)","title":"Environmental, Social and Governance (ESG) Practices and Performance in Shariah Firms: Agency or Stakeholder Theory?","title-short":"Environmental, Social and Governance (ESG) Practices and Performance in Shariah Firms","volume":"16","author":[{"family":"Lee","given":"Siew Peng"},{"family":"Isa","given":"Mansor"}],"issued":{"date-parts":[["2020",8,14]]}}}],"schema":"https://github.com/citation-style-language/schema/raw/master/csl-citation.json"}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(Lee &amp; Isa, 2020)</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7EF4A656" w14:textId="77777777" w:rsidR="008E37A3" w:rsidRPr="00E707F0" w:rsidRDefault="008E37A3" w:rsidP="003D7AE4">
      <w:pPr>
        <w:pStyle w:val="ListParagraph"/>
        <w:numPr>
          <w:ilvl w:val="0"/>
          <w:numId w:val="2"/>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Stewardship Theory</w:t>
      </w:r>
      <w:r w:rsidRPr="00E707F0">
        <w:rPr>
          <w:rFonts w:ascii="Georgia" w:hAnsi="Georgia"/>
          <w:color w:val="000000" w:themeColor="text1"/>
          <w:sz w:val="20"/>
          <w:szCs w:val="20"/>
        </w:rPr>
        <w:t xml:space="preserve">: This theory emphasizes the role of institutional investors as stewards of capital who can influence corporate behavior through active engagement and voting. Investors increasingly prioritize ESG factors in their investment decisions, pushing companies to adopt sustainable practices and improve ESG performance. Research unanimously says that a strong orientation towards stewardship leads to higher and positive ESG performance. The Rhine model is significantly stronger than the American model but weaker than the UK model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{"citationID":"XK2N6twq","properties":{"formattedCitation":"(Chevrollier et al., 2020)","plainCitation":"(Chevrollier et al., 2020)","noteIndex":0},"citationItems":[{"id":5620,"uris":["http://zotero.org/users/6351501/items/BHBMWSNP"],"itemData":{"id":5620,"type":"article-journal","abstract":"Purpose\n              Despite the scholarly attention for the integration of sustainability within business strategy and processes, little is known about how strategic orientations of companies influence this integration. Drawing on stewardship theory, this paper aims to analyse the influence of strategic orientation of companies on their environmental, social and corporate governance (ESG) performance and the moderating effect of three different political models of economy (Rhine, British and American).\n            \n            \n              Design/methodology/approach\n              This paper creates a measurement for strategic orientations by using a coding scheme with a five-category evaluation matrix. The main empirical analysis is done by a fixed-effect model with a panel data set covering 179 publicly traded companies over the 2009-2016 period.\n            \n            \n              Findings\n              The conclusions of this paper present that – consistent over time – a stronger orientation on stewardship positively associates with higher ESG performance. Additionally, the political model of economy significantly alters the relationship indicating the effect of strategic orientation on ESG performance. The relationship is significantly stronger in the Rhine model and significantly weaker in the British model, when both compared to the American model.\n            \n            \n              Originality/value\n              The implications of this paper are vital to understanding corporate strategic orientation and its relationship to actual corporate behaviour and long-term performance. Implementing the elements of focus, motivation, commitment, support and communication linked to a stewardship orientation is fundamental to achieve higher levels of sustainability performance.","container-title":"Corporate Governance: The International Journal of Business in Society","DOI":"10.1108/CG-03-2019-0105","ISSN":"1472-0701, 1472-0701","issue":"1","journalAbbreviation":"CG","language":"en","page":"123-142","source":"DOI.org (Crossref)","title":"The predictive value of strategic orientation for ESG performance over time","volume":"20","author":[{"family":"Chevrollier","given":"Nicolas"},{"family":"Zhang","given":"Jianhong"},{"family":"Van Leeuwen","given":"Thijs"},{"family":"Nijhof","given":"André"}],"issued":{"date-parts":[["2020",1,20]]}}}],"schema":"https://github.com/citation-style-language/schema/raw/master/csl-citation.json"}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(Chevrollier et al., 2020)</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.Stewardship puts the concept of monitoring, engaging, voting, and reporting into practice. The company's energies can be drawn towards sustainable governance and reporting. Hence, the concepts of governance, stewardship, and sustainability are interlinked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{"citationID":"Ix5tNRPc","properties":{"formattedCitation":"(Dallas &amp; Lubrano, 2022)","plainCitation":"(Dallas &amp; Lubrano, 2022)","noteIndex":0},"citationItems":[{"id":5623,"uris":["http://zotero.org/users/6351501/items/HP8D47XV"],"itemData":{"id":5623,"type":"book","edition":"2","event-place":"New York","ISBN":"978-1-00-330708-2","language":"en","note":"DOI: 10.4324/9781003307082","publisher":"Routledge","publisher-place":"New York","source":"DOI.org (Crossref)","title":"Governance, Stewardship and Sustainability: Theory, Practice and Evidence","title-short":"Governance, Stewardship and Sustainability","URL":"https://www.taylorfrancis.com/books/9781003307082","author":[{"family":"Dallas","given":"George"},{"family":"Lubrano","given":"Mike"}],"accessed":{"date-parts":[["2024",2,25]]},"issued":{"date-parts":[["2022",9,29]]}}}],"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(Dallas &amp; Lubrano, 2022)</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0A9E1C18" w14:textId="77777777" w:rsidR="008E37A3" w:rsidRPr="00E707F0" w:rsidRDefault="008E37A3" w:rsidP="003D7AE4">
      <w:pPr>
        <w:pStyle w:val="ListParagraph"/>
        <w:numPr>
          <w:ilvl w:val="0"/>
          <w:numId w:val="2"/>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Legitimacy Theory</w:t>
      </w:r>
      <w:r w:rsidRPr="00E707F0">
        <w:rPr>
          <w:rFonts w:ascii="Georgia" w:hAnsi="Georgia"/>
          <w:color w:val="000000" w:themeColor="text1"/>
          <w:sz w:val="20"/>
          <w:szCs w:val="20"/>
        </w:rPr>
        <w:t xml:space="preserve">: This theory suggests companies strive to gain legitimacy and social acceptance by conforming to societal norms and expectations. While few companies are found fabricating their reports to stay compliant, few others follow a true sustainability approach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{"citationID":"dRtFxekM","properties":{"formattedCitation":"(M. T. Mahmud, 2019)","plainCitation":"(M. T. Mahmud, 2019)","noteIndex":0},"citationItems":[{"id":5629,"uris":["http://zotero.org/users/6351501/items/DGU95HHW"],"itemData":{"id":5629,"type":"article","DOI":"10.15017/2230676","language":"en","publisher":"Kyushu Daigaku Daigakuin Keizaigakukai","source":"DOI.org (CSL JSON)","title":"Legitimacy Theory and its Relationship to CSR Disclosures: A Literature Review","title-short":"Legitimacy Theory and its Relationship to CSR Disclosures","URL":"https://doi.org/10.15017/2230676","author":[{"family":"Mahmud","given":"Md Tapan"}],"accessed":{"date-parts":[["2024",2,25]]},"issued":{"date-parts":[["2019",3,29]]}}}],"schema":"https://github.com/citation-style-language/schema/raw/master/csl-citation.json"}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(M. T. Mahmud, 2019)</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Integrating ESG considerations aligns with growing societal expectations for responsible business practices, enhancing a company's legitimacy and reputation. Some studies worked on legitimacy and upper-echelon theories together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{"citationID":"ZBDmqCNJ","properties":{"formattedCitation":"(Birindelli et al., 2024)","plainCitation":"(Birindelli et al., 2024)","noteIndex":0},"citationItems":[{"id":5624,"uris":["http://zotero.org/users/6351501/items/I66Z84KW"],"itemData":{"id":5624,"type":"article-journal","container-title":"Research in International Business and Finance","DOI":"10.1016/j.ribaf.2024.102235","ISSN":"02755319","journalAbbreviation":"Research in International Business and Finance","language":"en","page":"102235","source":"DOI.org (Crossref)","title":"Greenwashing, bank financial performance and the moderating role of gender diversity","volume":"69","author":[{"family":"Birindelli","given":"Giuliana"},{"family":"Chiappini","given":"Helen"},{"family":"Jalal","given":"Raja Nabeel-Ud-Din"}],"issued":{"date-parts":[["2024",4]]}}}],"schema":"https://github.com/citation-style-language/schema/raw/master/csl-citation.json"}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(Birindelli et al., 2024)</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while few connected media agenda-setting theory and legitimacy theory</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{"citationID":"LMlHbwMk","properties":{"formattedCitation":"(Menicacci &amp; Simoni, 2024)","plainCitation":"(Menicacci &amp; Simoni, 2024)","noteIndex":0},"citationItems":[{"id":5625,"uris":["http://zotero.org/users/6351501/items/KUUS5HA3"],"itemData":{"id":5625,"type":"article-journal","abstract":"Purpose\n              This study aims to investigate the role of negative media coverage of environmental, social and governance (ESG) issues in deterring tax avoidance. Inspired by media agenda-setting theory and legitimacy theory, this study hypothesises that an increase in ESG negative media coverage should cause a reputational drawback, leading companies to reduce tax avoidance to regain their legitimacy. Hence, this study examines a novel channel that links ESG and taxation.\n            \n            \n              Design/methodology/approach\n              This study uses panel regression analysis to examine the relationship between negative media coverage of ESG issues and tax avoidance among the largest European entities. This study considers different measures of tax avoidance and negative media coverage.\n            \n            \n              Findings\n              The results show that negative media coverage of ESG issues is negatively associated with tax avoidance, suggesting that media can act as an external monitor for corporate taxation.\n            \n            \n              Practical implications\n              The findings have implications for policymakers and regulators, which should consider tax transparency when dealing with ESG disclosure requirements. Tax disclosure should be integrated into ESG reporting.\n            \n            \n              Social implications\n              The study has social implications related to the media, which act as watchdogs for firms’ irresponsible practices. According to this study’s findings, increased media pressure has the power to induce a better alignment between declared ESG policies and tax strategies.\n            \n            \n              Originality/value\n              This study contributes to the literature on the mechanisms that discourage tax avoidance and the literature on the relationship between ESG and taxation by shedding light on the role of media coverage.","container-title":"Sustainability Accounting, Management and Policy Journal","DOI":"10.1108/SAMPJ-01-2023-0024","ISSN":"2040-8021, 2040-8021","issue":"7","journalAbbreviation":"SAMPJ","language":"en","page":"1-33","source":"DOI.org (Crossref)","title":"Negative media coverage of ESG issues and corporate tax avoidance","volume":"15","author":[{"family":"Menicacci","given":"Luca"},{"family":"Simoni","given":"Lorenzo"}],"issued":{"date-parts":[["2024",2,9]]}}}],"schema":"https://github.com/citation-style-language/schema/raw/master/csl-citation.json"}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w:t>
      </w:r>
      <w:proofErr w:type="spellStart"/>
      <w:r w:rsidRPr="00E707F0">
        <w:rPr>
          <w:rFonts w:ascii="Georgia" w:hAnsi="Georgia"/>
          <w:color w:val="000000" w:themeColor="text1"/>
          <w:sz w:val="20"/>
          <w:szCs w:val="20"/>
        </w:rPr>
        <w:t>Menicacci</w:t>
      </w:r>
      <w:proofErr w:type="spellEnd"/>
      <w:r w:rsidRPr="00E707F0">
        <w:rPr>
          <w:rFonts w:ascii="Georgia" w:hAnsi="Georgia"/>
          <w:color w:val="000000" w:themeColor="text1"/>
          <w:sz w:val="20"/>
          <w:szCs w:val="20"/>
        </w:rPr>
        <w:t xml:space="preserve"> &amp; Simoni, 2024)</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ESG disclosures and the risk of greenwashing are popular topics</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{"citationID":"exKNqFhI","properties":{"formattedCitation":"(De Silva Lokuwaduge &amp; De Silva, 2022)","plainCitation":"(De Silva Lokuwaduge &amp; De Silva, 2022)","noteIndex":0},"citationItems":[{"id":5632,"uris":["http://zotero.org/users/6351501/items/BSTN8KNQ"],"itemData":{"id":5632,"type":"article-journal","container-title":"Australasian Business, Accounting and Finance Journal","DOI":"10.14453/aabfj.v16i1.10","ISSN":"18342019","issue":"1","journalAbbreviation":"AABFJ","page":"146-159","source":"DOI.org (Crossref)","title":"ESG Risk Disclosure and the Risk of Green Washing","volume":"16","author":[{"family":"De Silva Lokuwaduge","given":"Chitra S"},{"family":"De Silva","given":"Keshara M"}],"issued":{"date-parts":[["2022"]]}}}],"schema":"https://github.com/citation-style-language/schema/raw/master/csl-citation.json"}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(De Silva Lokuwaduge&amp; De Silva, 2022)</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6EA87917" w14:textId="77777777" w:rsidR="008E37A3" w:rsidRPr="00E707F0" w:rsidRDefault="008E37A3" w:rsidP="003D7AE4">
      <w:pPr>
        <w:pStyle w:val="ListParagraph"/>
        <w:numPr>
          <w:ilvl w:val="0"/>
          <w:numId w:val="2"/>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Resource Dependence Theory (RDT)</w:t>
      </w:r>
      <w:r w:rsidRPr="003D7AE4">
        <w:rPr>
          <w:rFonts w:ascii="Georgia" w:hAnsi="Georgia"/>
          <w:color w:val="2C336A"/>
          <w:sz w:val="20"/>
          <w:szCs w:val="20"/>
        </w:rPr>
        <w:t>:</w:t>
      </w:r>
      <w:r w:rsidRPr="00E707F0">
        <w:rPr>
          <w:rFonts w:ascii="Georgia" w:hAnsi="Georgia"/>
          <w:color w:val="000000" w:themeColor="text1"/>
          <w:sz w:val="20"/>
          <w:szCs w:val="20"/>
        </w:rPr>
        <w:t xml:space="preserve"> This theory emphasizes a company's dependence on external resources, such as talent, capital, and raw materials. Strong ESG performance can attract and retain skilled employees, secure access to financing from ESG-focused investors, and mitigate environmental risks, enhancing a company's access to critical resources. The theory helped </w:t>
      </w:r>
      <w:proofErr w:type="spellStart"/>
      <w:r w:rsidRPr="00E707F0">
        <w:rPr>
          <w:rFonts w:ascii="Georgia" w:hAnsi="Georgia"/>
          <w:color w:val="000000" w:themeColor="text1"/>
          <w:sz w:val="20"/>
          <w:szCs w:val="20"/>
        </w:rPr>
        <w:t>understanddirectors</w:t>
      </w:r>
      <w:proofErr w:type="spellEnd"/>
      <w:r w:rsidRPr="00E707F0">
        <w:rPr>
          <w:rFonts w:ascii="Georgia" w:hAnsi="Georgia"/>
          <w:color w:val="000000" w:themeColor="text1"/>
          <w:sz w:val="20"/>
          <w:szCs w:val="20"/>
        </w:rPr>
        <w:t xml:space="preserve">' capacities to provide resources and legitimacy, which </w:t>
      </w:r>
      <w:proofErr w:type="spellStart"/>
      <w:r w:rsidRPr="00E707F0">
        <w:rPr>
          <w:rFonts w:ascii="Georgia" w:hAnsi="Georgia"/>
          <w:color w:val="000000" w:themeColor="text1"/>
          <w:sz w:val="20"/>
          <w:szCs w:val="20"/>
        </w:rPr>
        <w:t>inturn</w:t>
      </w:r>
      <w:proofErr w:type="spellEnd"/>
      <w:r w:rsidRPr="00E707F0">
        <w:rPr>
          <w:rFonts w:ascii="Georgia" w:hAnsi="Georgia"/>
          <w:color w:val="000000" w:themeColor="text1"/>
          <w:sz w:val="20"/>
          <w:szCs w:val="20"/>
        </w:rPr>
        <w:t xml:space="preserve"> helps shape ESG performance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{"citationID":"yLGEIQQB","properties":{"formattedCitation":"(Lewellyn &amp; Muller-Kahle, 2023)","plainCitation":"(Lewellyn &amp; Muller-Kahle, 2023)","noteIndex":0},"citationItems":[{"id":5634,"uris":["http://zotero.org/users/6351501/items/JRMGQZDX"],"itemData":{"id":5634,"type":"article-journal","abstract":"We draw from resource dependence and institutional theories to explore how board characteristics associated with directors’ capacities to provide resources and legitimacy (i.e., board size, the number of non-executive, interlocking, and female directors) along with regulative, normative, and cultural-cognitive institutional conditions combine to shape firm environmental, social, and governance (ESG) performance. Using a process of configurational theorizing with fuzzy set qualitative comparative analysis and data from firms in 32 countries, we identify multiple equifinal configurations that are associated with high and low ESG performance. We find that high and low ESG performance have different drivers due to complementarities among the presence and absence of board characteristics. Our results also show that the effectiveness (or not) of the bundles of boards’ characteristics for ESG performance varies across institutional contexts. By leveraging these findings to construct a typology of board archetypes that lead to high and low ESG performance, we offer novel theoretical and empirical insights to scholars as well as implications for practice.","container-title":"Business &amp; Society","DOI":"10.1177/00076503231182688","ISSN":"0007-6503, 1552-4205","journalAbbreviation":"Business &amp; Society","language":"en","page":"00076503231182688","source":"DOI.org (Crossref)","title":"ESG Leaders or Laggards? A Configurational Analysis of ESG Performance","title-short":"ESG Leaders or Laggards?","author":[{"family":"Lewellyn","given":"Krista"},{"family":"Muller-Kahle","given":"Maureen"}],"issued":{"date-parts":[["2023",7,6]]}}}],"schema":"https://github.com/citation-style-language/schema/raw/master/csl-citation.json"}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(Lewellyn &amp; Muller-Kahle, 2023)</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w:t>
      </w:r>
    </w:p>
    <w:p w14:paraId="503A6649" w14:textId="77777777" w:rsidR="008E37A3" w:rsidRPr="00E707F0" w:rsidRDefault="008E37A3" w:rsidP="003D7AE4">
      <w:pPr>
        <w:pStyle w:val="ListParagraph"/>
        <w:numPr>
          <w:ilvl w:val="0"/>
          <w:numId w:val="2"/>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Institutional Theory and New Institutional Theory</w:t>
      </w:r>
      <w:r w:rsidRPr="003D7AE4">
        <w:rPr>
          <w:rFonts w:ascii="Georgia" w:hAnsi="Georgia"/>
          <w:color w:val="2C336A"/>
          <w:sz w:val="20"/>
          <w:szCs w:val="20"/>
        </w:rPr>
        <w:t xml:space="preserve">: </w:t>
      </w:r>
      <w:r w:rsidRPr="00E707F0">
        <w:rPr>
          <w:rFonts w:ascii="Georgia" w:hAnsi="Georgia"/>
          <w:color w:val="000000" w:themeColor="text1"/>
          <w:sz w:val="20"/>
          <w:szCs w:val="20"/>
        </w:rPr>
        <w:t xml:space="preserve">This theory examines how institutions, including regulatory bodies, industry norms, and cultural values, shape corporate behavior. Growing regulatory focus on ESG issues and increasing investor demand for ESG transparency pressure companies </w:t>
      </w:r>
      <w:r w:rsidRPr="00E707F0">
        <w:rPr>
          <w:rFonts w:ascii="Georgia" w:hAnsi="Georgia"/>
          <w:color w:val="000000" w:themeColor="text1"/>
          <w:sz w:val="20"/>
          <w:szCs w:val="20"/>
        </w:rPr>
        <w:lastRenderedPageBreak/>
        <w:t xml:space="preserve">to integrate ESG considerations into their governance practices. Some noted worked in this area are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{"citationID":"0cO8W43m","properties":{"formattedCitation":"(M. Liu et al., 2024)","plainCitation":"(M. Liu et al., 2024)","noteIndex":0},"citationItems":[{"id":5637,"uris":["http://zotero.org/users/6351501/items/P8UZTB64"],"itemData":{"id":5637,"type":"article-journal","container-title":"Journal of Management and Governance","DOI":"10.1007/s10997-024-09695-y","ISSN":"1385-3457, 1572-963X","journalAbbreviation":"J Manag Gov","language":"en","source":"DOI.org (Crossref)","title":"The impact of executive cognitive characteristics on a firm’s ESG performance: an institutional theory perspective","title-short":"The impact of executive cognitive characteristics on a firm’s ESG performance","URL":"https://link.springer.com/10.1007/s10997-024-09695-y","author":[{"family":"Liu","given":"Manzhi"},{"family":"Lu","given":"Jia"},{"family":"Liu","given":"Qiyao"},{"family":"Wang","given":"Hui"},{"family":"Yang","given":"Yaxin"},{"family":"Fang","given":"Shuting"}],"accessed":{"date-parts":[["2024",2,25]]},"issued":{"date-parts":[["2024",2,10]]}}}],"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(M. Liu et al., 2024)</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{"citationID":"mKMk9Iue","properties":{"formattedCitation":"(Beunza &amp; Ferraro, 2019)","plainCitation":"(Beunza &amp; Ferraro, 2019)","noteIndex":0},"citationItems":[{"id":5638,"uris":["http://zotero.org/users/6351501/items/HU6N8DMF"],"itemData":{"id":5638,"type":"article-journal","abstract":"Callon’s performativity thesis has illuminated how economic theories and calculative devices shape markets, but has been challenged for its neglect of the organizational, institutional and political context. Our seven-year qualitative study of a large financial data company found that the company’s initial attempt to change the responsible investment field through a performative approach failed because of the constraints posed by field practices and organizational norms on the design of the calculative device. However, the company was subsequently able to put in place another form of performativity by attending to the normative and regulative associations of the device. We theorize this route to performativity by proposing the concept of performative work, which designates the necessary institutional work to enable translation and the subsequent adoption of the device. We conclude by considering the implications of performative work for the performativity and the institutional work literatures.","container-title":"Organization Studies","DOI":"10.1177/0170840617747917","ISSN":"0170-8406, 1741-3044","issue":"4","journalAbbreviation":"Organization Studies","language":"en","page":"515-543","source":"DOI.org (Crossref)","title":"Performative Work: Bridging Performativity and Institutional Theory in the Responsible Investment Field","title-short":"Performative Work","volume":"40","author":[{"family":"Beunza","given":"Daniel"},{"family":"Ferraro","given":"Fabrizio"}],"issued":{"date-parts":[["2019",4]]}}}],"schema":"https://github.com/citation-style-language/schema/raw/master/csl-citation.json"}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(Beunza &amp; Ferraro, 2019)</w:t>
      </w:r>
      <w:r w:rsidRPr="00E707F0">
        <w:rPr>
          <w:rFonts w:ascii="Georgia" w:hAnsi="Georgia"/>
          <w:color w:val="000000" w:themeColor="text1"/>
          <w:sz w:val="20"/>
          <w:szCs w:val="20"/>
        </w:rPr>
        <w:fldChar w:fldCharType="end"/>
      </w:r>
    </w:p>
    <w:p w14:paraId="6B72CCF8" w14:textId="77777777" w:rsidR="008E37A3" w:rsidRPr="00E707F0" w:rsidRDefault="008E37A3" w:rsidP="003D7AE4">
      <w:pPr>
        <w:pStyle w:val="ListParagraph"/>
        <w:numPr>
          <w:ilvl w:val="0"/>
          <w:numId w:val="2"/>
        </w:numPr>
        <w:spacing w:after="0" w:line="240" w:lineRule="auto"/>
        <w:ind w:left="426" w:hanging="426"/>
        <w:rPr>
          <w:rFonts w:ascii="Georgia" w:hAnsi="Georgia"/>
          <w:color w:val="000000" w:themeColor="text1"/>
          <w:sz w:val="20"/>
          <w:szCs w:val="20"/>
        </w:rPr>
      </w:pPr>
      <w:r w:rsidRPr="003D7AE4">
        <w:rPr>
          <w:rFonts w:ascii="Georgia" w:hAnsi="Georgia"/>
          <w:b/>
          <w:bCs/>
          <w:color w:val="2C336A"/>
          <w:sz w:val="20"/>
          <w:szCs w:val="20"/>
        </w:rPr>
        <w:t>Risk Management</w:t>
      </w:r>
      <w:r w:rsidRPr="00E707F0">
        <w:rPr>
          <w:rFonts w:ascii="Georgia" w:hAnsi="Georgia"/>
          <w:b/>
          <w:bCs/>
          <w:color w:val="000000" w:themeColor="text1"/>
          <w:sz w:val="20"/>
          <w:szCs w:val="20"/>
        </w:rPr>
        <w:t xml:space="preserve"> T</w:t>
      </w:r>
      <w:r w:rsidRPr="00E707F0">
        <w:rPr>
          <w:rFonts w:ascii="Georgia" w:hAnsi="Georgia"/>
          <w:color w:val="000000" w:themeColor="text1"/>
          <w:sz w:val="20"/>
          <w:szCs w:val="20"/>
        </w:rPr>
        <w:t xml:space="preserve">heory emphasizes the importance of identifying, assessing, and managing company risks. ESG factors can pose significant financial, reputational, and operational risks. Effective corporate governance frameworks can help companies identify, assess, and mitigate these ESG </w:t>
      </w:r>
      <w:proofErr w:type="spellStart"/>
      <w:r w:rsidRPr="00E707F0">
        <w:rPr>
          <w:rFonts w:ascii="Georgia" w:hAnsi="Georgia"/>
          <w:color w:val="000000" w:themeColor="text1"/>
          <w:sz w:val="20"/>
          <w:szCs w:val="20"/>
        </w:rPr>
        <w:t>risks.Some</w:t>
      </w:r>
      <w:proofErr w:type="spellEnd"/>
      <w:r w:rsidRPr="00E707F0">
        <w:rPr>
          <w:rFonts w:ascii="Georgia" w:hAnsi="Georgia"/>
          <w:color w:val="000000" w:themeColor="text1"/>
          <w:sz w:val="20"/>
          <w:szCs w:val="20"/>
        </w:rPr>
        <w:t xml:space="preserve"> key works are by done by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{"citationID":"baK6jHTr","properties":{"formattedCitation":"(Sharma, 2023)","plainCitation":"(Sharma, 2023)","noteIndex":0},"citationItems":[{"id":5641,"uris":["http://zotero.org/users/6351501/items/KIPUXYL3"],"itemData":{"id":5641,"type":"article-journal","container-title":"Procedia Computer Science","DOI":"10.1016/j.procs.2023.08.068","ISSN":"18770509","journalAbbreviation":"Procedia Computer Science","language":"en","page":"912-919","source":"DOI.org (Crossref)","title":"Does ESG risk management ensure better risk management? Evidence from India","title-short":"Does ESG risk management ensure better risk management?","volume":"221","author":[{"family":"Sharma","given":"Swati"}],"issued":{"date-parts":[["2023"]]}}}],"schema":"https://github.com/citation-style-language/schema/raw/master/csl-citation.json"}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(Sharma, 2023)</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and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{"citationID":"CAswvBcI","properties":{"formattedCitation":"(Kuzmina et al., 2023)","plainCitation":"(Kuzmina et al., 2023)","noteIndex":0},"citationItems":[{"id":5642,"uris":["http://zotero.org/users/6351501/items/PEMZDEHL"],"itemData":{"id":5642,"type":"chapter","container-title":"Contemporary Studies in Economic and Financial Analysis","ISBN":"978-1-80455-254-4","note":"DOI: 10.1108/S1569-37592023000111A007","page":"105-113","publisher":"Emerald Publishing Limited","source":"DOI.org (Crossref)","title":"ESG Integration as a Risk Management Tool within the Financial Decision-making Process","URL":"https://www.emerald.com/insight/content/doi/10.1108/S1569-37592023000111A007/full/html","editor":[{"family":"Grima","given":"Simon"},{"family":"Thalassinos","given":"Eleftherios"},{"family":"Cristea","given":"Mirela"},{"family":"Kadłubek","given":"Marta"},{"family":"Maditinos","given":"Dimitrios"},{"family":"Peiseniece","given":"Līga"}],"author":[{"family":"Kuzmina","given":"Jekaterina"},{"family":"Maditinos","given":"Dimitrios"},{"family":"Norena-Chavez","given":"Diego"},{"family":"Grima","given":"Simon"},{"family":"Kadłubek","given":"Marta"}],"accessed":{"date-parts":[["2024",2,25]]},"issued":{"date-parts":[["2023",9,28]]}}}],"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(Kuzmina et al., 2023)</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2E2E26C1" w14:textId="77777777" w:rsidR="008E37A3" w:rsidRPr="00E707F0" w:rsidRDefault="008E37A3" w:rsidP="003D7AE4">
      <w:pPr>
        <w:pStyle w:val="ListParagraph"/>
        <w:numPr>
          <w:ilvl w:val="0"/>
          <w:numId w:val="2"/>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Value Creation Theory</w:t>
      </w:r>
      <w:r w:rsidRPr="00E707F0">
        <w:rPr>
          <w:rFonts w:ascii="Georgia" w:hAnsi="Georgia"/>
          <w:color w:val="000000" w:themeColor="text1"/>
          <w:sz w:val="20"/>
          <w:szCs w:val="20"/>
        </w:rPr>
        <w:t xml:space="preserve">: This theory suggests that companies should focus on creating value for all stakeholders, not </w:t>
      </w:r>
      <w:proofErr w:type="spellStart"/>
      <w:r w:rsidRPr="00E707F0">
        <w:rPr>
          <w:rFonts w:ascii="Georgia" w:hAnsi="Georgia"/>
          <w:color w:val="000000" w:themeColor="text1"/>
          <w:sz w:val="20"/>
          <w:szCs w:val="20"/>
        </w:rPr>
        <w:t>justshareholders</w:t>
      </w:r>
      <w:proofErr w:type="spellEnd"/>
      <w:r w:rsidRPr="00E707F0">
        <w:rPr>
          <w:rFonts w:ascii="Georgia" w:hAnsi="Georgia"/>
          <w:color w:val="000000" w:themeColor="text1"/>
          <w:sz w:val="20"/>
          <w:szCs w:val="20"/>
        </w:rPr>
        <w:t xml:space="preserve">. Integrating ESG considerations can create long-term value by enhancing brand reputation, attracting and retaining talent, improving operational efficiency, and mitigating environmental risks. Some works in this area include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{"citationID":"pFy3QSyI","properties":{"formattedCitation":"(Zumente &amp; Bistrova, 2021)","plainCitation":"(Zumente &amp; Bistrova, 2021)","noteIndex":0},"citationItems":[{"id":5643,"uris":["http://zotero.org/users/6351501/items/XI6XH8IR"],"itemData":{"id":5643,"type":"article-journal","container-title":"Journal of Open Innovation: Technology, Market, and Complexity","DOI":"10.3390/joitmc7020127","ISSN":"21998531","issue":"2","journalAbbreviation":"Journal of Open Innovation: Technology, Market, and Complexity","language":"en","page":"127","source":"DOI.org (Crossref)","title":"ESG Importance for Long-Term Shareholder Value Creation: Literature vs. Practice","title-short":"ESG Importance for Long-Term Shareholder Value Creation","volume":"7","author":[{"family":"Zumente","given":"Ilze"},{"family":"Bistrova","given":"Jūlija"}],"issued":{"date-parts":[["2021",6]]}}}],"schema":"https://github.com/citation-style-language/schema/raw/master/csl-citation.json"}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(Zumente &amp; Bistrova, 2021)</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{"citationID":"S49GYIjD","properties":{"formattedCitation":"(Signori et al., 2021)","plainCitation":"(Signori et al., 2021)","noteIndex":0},"citationItems":[{"id":5645,"uris":["http://zotero.org/users/6351501/items/F7R4XEYP"],"itemData":{"id":5645,"type":"article-journal","abstract":"In recent years, a renewed interest in value creation for stakeholders has been witnessed in different contexts. Different tools have been proposed to try to grasp and measure such value(s) but, in many cases, the main perspective remains that of the shareholders. To contribute to the field of research that aims to discuss novel ways of thinking about value creation measurement, this paper addresses the relationship between ESG (Environmental, Social, and Governance) ratings and Value Added, as proxies of value creation and distribution for stakeholders. In particular, we consider whether ESG ratings are able to capture companies that are characterized by their capacity for generating higher Value Added for stakeholders. Our analysis uses the frontier methodology combined with means comparison. Data from 2018 were downloaded from EIKON, for all companies within the Euro zone and for all sectors (1932 companies, of which 399 held an ESG rating, compared with 1533 without ESG analysis). Our analysis reveals that, although ESG is theoretically considered a good social responsibility proxy, ESG indices cannot be used as an indicator of value creation for stakeholders but, rather, must be considered as only one of the components. This implies a need to review the limitations of ESG ratings and establish that the relevant indices are not suitable for use in universal or absolute decision-making.","container-title":"Sustainability","DOI":"10.3390/su13031392","ISSN":"2071-1050","issue":"3","journalAbbreviation":"Sustainability","language":"en","page":"1392","source":"DOI.org (Crossref)","title":"Stakeholder Value Creation: Comparing ESG and Value Added in European Companies","title-short":"Stakeholder Value Creation","volume":"13","author":[{"family":"Signori","given":"Silvana"},{"family":"San-Jose","given":"Leire"},{"family":"Retolaza","given":"Jose Luis"},{"family":"Rusconi","given":"Gianfranco"}],"issued":{"date-parts":[["2021",1,29]]}}}],"schema":"https://github.com/citation-style-language/schema/raw/master/csl-citation.json"}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(Signori et al., 2021)</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and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{"citationID":"GWAnA5Y4","properties":{"formattedCitation":"(Ort\\uc0\\u237{}z Almeyda, 2023)","plainCitation":"(Ortíz Almeyda, 2023)","noteIndex":0},"citationItems":[{"id":5647,"uris":["http://zotero.org/users/6351501/items/NII95R9L"],"itemData":{"id":5647,"type":"thesis","note":"DOI: 10.35376/10324/61858","publisher":"Universidad de Valladolid","source":"DOI.org (Crossref)","title":"ESG, growth options and risk: a value creation approach","title-short":"ESG, growth options and risk","URL":"https://uvadoc.uva.es/handle/10324/61858","author":[{"family":"Ortíz Almeyda","given":"Hilda Margarita"}],"accessed":{"date-parts":[["2024",2,25]]},"issued":{"date-parts":[["2023"]]}}}],"schema":"https://github.com/citation-style-language/schema/raw/master/csl-citation.json"}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(Ortíz Almeyda, 2023)</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3B9179E1" w14:textId="77777777" w:rsidR="008E37A3" w:rsidRPr="00E707F0" w:rsidRDefault="008E37A3" w:rsidP="003D7AE4">
      <w:pPr>
        <w:pStyle w:val="ListParagraph"/>
        <w:numPr>
          <w:ilvl w:val="0"/>
          <w:numId w:val="2"/>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Integrated Reporting Framework</w:t>
      </w:r>
      <w:r w:rsidRPr="003D7AE4">
        <w:rPr>
          <w:rFonts w:ascii="Georgia" w:hAnsi="Georgia"/>
          <w:color w:val="2C336A"/>
          <w:sz w:val="20"/>
          <w:szCs w:val="20"/>
        </w:rPr>
        <w:t>:</w:t>
      </w:r>
      <w:r w:rsidRPr="00E707F0">
        <w:rPr>
          <w:rFonts w:ascii="Georgia" w:hAnsi="Georgia"/>
          <w:color w:val="000000" w:themeColor="text1"/>
          <w:sz w:val="20"/>
          <w:szCs w:val="20"/>
        </w:rPr>
        <w:t xml:space="preserve"> This framework emphasizes the importance of presenting a holistic view of a company's performance, considering financial, social, and environmental factors alongside traditional financial statements. Strong corporate governance is necessary and can facilitate the integration of ESG factors into reporting practices, fostering transparency and accountability. Notable mentions related to this are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{"citationID":"JSxcFcgI","properties":{"formattedCitation":"(Hoang, 2018)","plainCitation":"(Hoang, 2018)","noteIndex":0},"citationItems":[{"id":5648,"uris":["http://zotero.org/users/6351501/items/KMAR7ZSF"],"itemData":{"id":5648,"type":"chapter","container-title":"Developments in Corporate Governance and Responsibility","ISBN":"978-1-78756-380-3","language":"en","note":"DOI: 10.1108/S2043-052320180000014003","page":"47-69","publisher":"Emerald Publishing Limited","source":"DOI.org (Crossref)","title":"The Role of the Integrated Reporting in Raising Awareness of Environmental, Social and Corporate Governance (ESG) Performance","URL":"https://www.emerald.com/insight/content/doi/10.1108/S2043-052320180000014003/full/html","volume":"14","editor":[{"family":"Seifi","given":"Shahla"},{"family":"Crowther","given":"David"}],"author":[{"family":"Hoang","given":"Thinh"}],"accessed":{"date-parts":[["2024",2,25]]},"issued":{"date-parts":[["2018",9,14]]}}}],"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(Hoang, 2018)</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and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{"citationID":"N90J8AYN","properties":{"formattedCitation":"(Chouaibi et al., 2022)","plainCitation":"(Chouaibi et al., 2022)","noteIndex":0},"citationItems":[{"id":5649,"uris":["http://zotero.org/users/6351501/items/6G66LGU2"],"itemData":{"id":5649,"type":"article-journal","abstract":"Purpose\n              The aim of this study is to analyze the possible relationship between board characteristics and integrated reporting quality in an international setting.\n            \n            \n              Design/methodology/approach\n              To test the study's hypotheses, the authors applied linear regressions with a panel data, and the authors collected data from the Thomson Reuters database (ASSET4) and from the annual reports from European companies to analyze data of 253 listed companies selected from the environmental, social and governance (ESG) index between 2010 and 2019.\n            \n            \n              Findings\n              The reached empirical results prove to indicate well that both of the board size, independence and diversity appear to have a significantly positive effect on the integrated reporting quality. Noteworthy, also, is the fact that the appointment of an independent nonexecutive chairman is positively associated with the integrated reporting related quality, and holds for firms with a nonindependent chairman.\n            \n            \n              Practical implications\n              Beyond the theoretical implications, our study also has several practical implications. These findings are particularly relevant for managers, shareholders, and policymakers. Thus, stakeholders should consider the accuracy of disclosure in determining the optimal reporting strategy (reducing risk estimation, returns' stock volatility, increasing long-term shareholder value and reputation of the firm).\n            \n            \n              Originality/value\n              This article is motivated by the low number of works in the context about the corporate social responsibility and sustainability issues. It makes an important contribution to the academic literature by adding to the limited body of research on integrated reporting and corporate governance in an ESG company setting. The study is also important for practitioners seeking to improve the quality of their integrated reports.","container-title":"EuroMed Journal of Business","DOI":"10.1108/EMJB-11-2020-0121","ISSN":"1450-2194","issue":"4","journalAbbreviation":"EMJB","language":"en","page":"425-447","source":"DOI.org (Crossref)","title":"Board characteristics and integrated reporting quality: evidence from ESG European companies","title-short":"Board characteristics and integrated reporting quality","volume":"17","author":[{"family":"Chouaibi","given":"Salim"},{"family":"Chouaibi","given":"Yamina"},{"family":"Zouari","given":"Ghazi"}],"issued":{"date-parts":[["2022",11,22]]}}}],"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(Chouaibi et al., 2022)</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56FD7651" w14:textId="77777777" w:rsidR="008E37A3" w:rsidRDefault="008E37A3" w:rsidP="003D7AE4">
      <w:pPr>
        <w:pStyle w:val="ListParagraph"/>
        <w:numPr>
          <w:ilvl w:val="0"/>
          <w:numId w:val="2"/>
        </w:numPr>
        <w:spacing w:after="0" w:line="240" w:lineRule="auto"/>
        <w:ind w:left="284" w:hanging="284"/>
        <w:rPr>
          <w:rFonts w:ascii="Georgia" w:hAnsi="Georgia"/>
          <w:color w:val="000000" w:themeColor="text1"/>
          <w:sz w:val="20"/>
          <w:szCs w:val="20"/>
        </w:rPr>
      </w:pPr>
      <w:r w:rsidRPr="003D7AE4">
        <w:rPr>
          <w:rFonts w:ascii="Georgia" w:hAnsi="Georgia"/>
          <w:b/>
          <w:bCs/>
          <w:color w:val="2C336A"/>
          <w:sz w:val="20"/>
          <w:szCs w:val="20"/>
        </w:rPr>
        <w:t>Sustainable Development Goals (SDGs)</w:t>
      </w:r>
      <w:r w:rsidRPr="003D7AE4">
        <w:rPr>
          <w:rFonts w:ascii="Georgia" w:hAnsi="Georgia"/>
          <w:color w:val="2C336A"/>
          <w:sz w:val="20"/>
          <w:szCs w:val="20"/>
        </w:rPr>
        <w:t xml:space="preserve">: </w:t>
      </w:r>
      <w:r w:rsidRPr="00E707F0">
        <w:rPr>
          <w:rFonts w:ascii="Georgia" w:hAnsi="Georgia"/>
          <w:color w:val="000000" w:themeColor="text1"/>
          <w:sz w:val="20"/>
          <w:szCs w:val="20"/>
        </w:rPr>
        <w:t xml:space="preserve">This framework provides a global blueprint for addressing sustainability challenges. Companies can align their ESG strategies with the SDGs, demonstrating their commitment to responsible business practices. The companies' efforts to provide positive societal and environmental outcomes will make them more viable in the </w:t>
      </w:r>
      <w:proofErr w:type="spellStart"/>
      <w:r w:rsidRPr="00E707F0">
        <w:rPr>
          <w:rFonts w:ascii="Georgia" w:hAnsi="Georgia"/>
          <w:color w:val="000000" w:themeColor="text1"/>
          <w:sz w:val="20"/>
          <w:szCs w:val="20"/>
        </w:rPr>
        <w:t>longrun</w:t>
      </w:r>
      <w:proofErr w:type="spellEnd"/>
      <w:r w:rsidRPr="00E707F0">
        <w:rPr>
          <w:rFonts w:ascii="Georgia" w:hAnsi="Georgia"/>
          <w:color w:val="000000" w:themeColor="text1"/>
          <w:sz w:val="20"/>
          <w:szCs w:val="20"/>
        </w:rPr>
        <w:t xml:space="preserve">. Some popular works are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{"citationID":"qOJGSMa0","properties":{"formattedCitation":"(Delgado-Ceballos et al., 2023)","plainCitation":"(Delgado-Ceballos et al., 2023)","noteIndex":0},"citationItems":[{"id":5650,"uris":["http://zotero.org/users/6351501/items/MQJCHUVX"],"itemData":{"id":5650,"type":"article-journal","abstract":"In this essay, we connect the United Nations’ Sustainable Development Goals (SDGs)—an extensive collection of society-level goals and targets aimed at addressing grand challenges and achieving global sustainability by 2030—to firm-level sustainability and Environmental, Social, and Governance (ESG) factors. In doing so, we highlight the importance of connecting the SDGs with the concept of double materiality—stakeholder materiality and financial materiality. Our assessment helps businesses navigate the intricate sustainability space and understand the ways in which their sustainability interventions can help solve the ESG grand challenges encapsulated in the SDGs. We conclude the article by introducing the five research articles that are part of the special issue “Our house is on fire! The role of business in achieving the Sustainable Development Goals” and suggesting a path for the future that revolves around creating standardized “sustainability balance sheets” in business.\n            JEL CLASSIFICATION: M14, M20, Q50, Q56","container-title":"BRQ Business Research Quarterly","DOI":"10.1177/23409444221140919","ISSN":"2340-9444, 2340-9444","issue":"1","journalAbbreviation":"BRQ Business Research Quarterly","language":"en","page":"2-10","source":"DOI.org (Crossref)","title":"Connecting the Sustainable Development Goals to firm-level sustainability and ESG factors: The need for double materiality","title-short":"Connecting the Sustainable Development Goals to firm-level sustainability and ESG factors","volume":"26","author":[{"family":"Delgado-Ceballos","given":"Javier"},{"family":"Ortiz-De-Mandojana","given":"Natalia"},{"family":"Antolín-López","given":"Raquel"},{"family":"Montiel","given":"Ivan"}],"issued":{"date-parts":[["2023",1]]}}}],"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(Delgado-Ceballos et al., 2023)</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{"citationID":"cLTpyTNQ","properties":{"formattedCitation":"(Khaled et al., 2021)","plainCitation":"(Khaled et al., 2021)","noteIndex":0},"citationItems":[{"id":5651,"uris":["http://zotero.org/users/6351501/items/CHDEJ8H7"],"itemData":{"id":5651,"type":"article-journal","container-title":"Journal of Cleaner Production","DOI":"10.1016/j.jclepro.2021.127599","ISSN":"09596526","journalAbbreviation":"Journal of Cleaner Production","language":"en","page":"127599","source":"DOI.org (Crossref)","title":"The Sustainable Development Goals and corporate sustainability performance: Mapping, extent and determinants","title-short":"The Sustainable Development Goals and corporate sustainability performance","volume":"311","author":[{"family":"Khaled","given":"Raneem"},{"family":"Ali","given":"Heba"},{"family":"Mohamed","given":"Ehab K.A."}],"issued":{"date-parts":[["2021",8]]}}}],"schema":"https://github.com/citation-style-language/schema/raw/master/csl-citation.json"}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(Khaled et al., 2021)</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 xml:space="preserve">, and </w:t>
      </w: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ZOTERO_ITEM CSL_CITATION {"citationID":"uZAWw1Tc","properties":{"formattedCitation":"(Sciarelli et al., 2021)","plainCitation":"(Sciarelli et al., 2021)","noteIndex":0},"citationItems":[{"id":5652,"uris":["http://zotero.org/users/6351501/items/ZX26ADP7"],"itemData":{"id":5652,"type":"article-journal","abstract":"Purpose\n              Recently, socially and responsible investments (SRI) have constantly grown becoming a highly discussed issue. Therefore, the main purpose of this paper is to better understand if environmental social governance (ESG) criteria integration in investment strategies can support the transition of finance toward a more sustainable growth.\n            \n            \n              Design/methodology/approach\n              An explorative analysis based on a multiple case study has been conducted and addressed by a content analysis on the Key Investors Information Documents (KIIDs) that the sample companies published for 2020.\n            \n            \n              Findings\n              The achieved results demonstrated that the case companies differently integrated ESG into their SRI; thus, if some of them are quite near to a full integration, the others demonstrated less than a full commitment with ESG. This seems to be mainly due to the different approach that asset management companies (AMCs) and/or managers have adopted for integrating ESG criteria.\n            \n            \n              Research limitations/implications\n              Even though the achieved results offered some interesting insights for asset managers, the explorative and qualitative nature of this study and the small sample investigated somewhat limits it.\n            \n            \n              Practical implications\n              AMCs, consultants and managers in developing and implementing their SRI strategy could be much more focused on the importance of ESG integration for the transition toward a more responsible and sustainable finance (micro-level) as well as a more sustainable development (macro-level).\n            \n            \n              Originality/value\n              The paper provides new insights into the essence of SRI strategies and their potential to contribute to sustainable development. Thus, it tries to shed new lights on the role that ESG can have to stimulate and support investment decisions and, in so doing, contributing to make finance grow more sustainable.","container-title":"The TQM Journal","DOI":"10.1108/TQM-08-2020-0180","ISSN":"1754-2731","issue":"7","journalAbbreviation":"TQM","language":"en","page":"39-56","source":"DOI.org (Crossref)","title":"Socially responsible investment strategies for the transition towards sustainable development: the importance of integrating and communicating ESG","title-short":"Socially responsible investment strategies for the transition towards sustainable development","volume":"33","author":[{"family":"Sciarelli","given":"Mauro"},{"family":"Cosimato","given":"Silvia"},{"family":"Landi","given":"Giovanni"},{"family":"Iandolo","given":"Francesca"}],"issued":{"date-parts":[["2021",12,17]]}}}],"schema":"https://github.com/citation-style-language/schema/raw/master/csl-citation.json"} </w:instrText>
      </w:r>
      <w:r w:rsidRPr="00E707F0">
        <w:rPr>
          <w:rFonts w:ascii="Georgia" w:hAnsi="Georgia"/>
          <w:color w:val="000000" w:themeColor="text1"/>
          <w:sz w:val="20"/>
          <w:szCs w:val="20"/>
        </w:rPr>
        <w:fldChar w:fldCharType="separate"/>
      </w:r>
      <w:r w:rsidRPr="00E707F0">
        <w:rPr>
          <w:rFonts w:ascii="Georgia" w:hAnsi="Georgia"/>
          <w:color w:val="000000" w:themeColor="text1"/>
          <w:sz w:val="20"/>
          <w:szCs w:val="20"/>
        </w:rPr>
        <w:t>(Sciarelli et al., 2021)</w:t>
      </w:r>
      <w:r w:rsidRPr="00E707F0">
        <w:rPr>
          <w:rFonts w:ascii="Georgia" w:hAnsi="Georgia"/>
          <w:color w:val="000000" w:themeColor="text1"/>
          <w:sz w:val="20"/>
          <w:szCs w:val="20"/>
        </w:rPr>
        <w:fldChar w:fldCharType="end"/>
      </w:r>
      <w:r w:rsidRPr="00E707F0">
        <w:rPr>
          <w:rFonts w:ascii="Georgia" w:hAnsi="Georgia"/>
          <w:color w:val="000000" w:themeColor="text1"/>
          <w:sz w:val="20"/>
          <w:szCs w:val="20"/>
        </w:rPr>
        <w:t>.</w:t>
      </w:r>
    </w:p>
    <w:p w14:paraId="2C00FA49" w14:textId="77777777" w:rsidR="003D7AE4" w:rsidRPr="00E707F0" w:rsidRDefault="003D7AE4" w:rsidP="003D7AE4">
      <w:pPr>
        <w:pStyle w:val="ListParagraph"/>
        <w:spacing w:after="0" w:line="240" w:lineRule="auto"/>
        <w:ind w:left="284"/>
        <w:rPr>
          <w:rFonts w:ascii="Georgia" w:hAnsi="Georgia"/>
          <w:color w:val="000000" w:themeColor="text1"/>
          <w:sz w:val="20"/>
          <w:szCs w:val="20"/>
        </w:rPr>
      </w:pPr>
    </w:p>
    <w:p w14:paraId="54B0E980" w14:textId="77777777" w:rsidR="008E37A3" w:rsidRPr="003D7AE4" w:rsidRDefault="008E37A3" w:rsidP="00E707F0">
      <w:pPr>
        <w:pStyle w:val="Heading1"/>
        <w:spacing w:after="0" w:line="240" w:lineRule="auto"/>
        <w:jc w:val="both"/>
        <w:rPr>
          <w:rFonts w:ascii="Georgia" w:hAnsi="Georgia"/>
          <w:color w:val="2C336A"/>
          <w:sz w:val="20"/>
          <w:szCs w:val="20"/>
        </w:rPr>
      </w:pPr>
      <w:r w:rsidRPr="003D7AE4">
        <w:rPr>
          <w:rFonts w:ascii="Georgia" w:hAnsi="Georgia"/>
          <w:color w:val="2C336A"/>
          <w:sz w:val="20"/>
          <w:szCs w:val="20"/>
        </w:rPr>
        <w:t>Managerial Implications</w:t>
      </w:r>
    </w:p>
    <w:p w14:paraId="21FAB8CE" w14:textId="77777777" w:rsidR="008E37A3" w:rsidRDefault="008E37A3" w:rsidP="00E707F0">
      <w:pPr>
        <w:spacing w:after="0" w:line="240" w:lineRule="auto"/>
        <w:rPr>
          <w:rFonts w:ascii="Georgia" w:hAnsi="Georgia"/>
          <w:color w:val="000000" w:themeColor="text1"/>
          <w:sz w:val="20"/>
          <w:szCs w:val="20"/>
        </w:rPr>
      </w:pPr>
      <w:r w:rsidRPr="00E707F0">
        <w:rPr>
          <w:rFonts w:ascii="Georgia" w:hAnsi="Georgia"/>
          <w:color w:val="000000" w:themeColor="text1"/>
          <w:sz w:val="20"/>
          <w:szCs w:val="20"/>
        </w:rPr>
        <w:t xml:space="preserve">This study has several implications for managers. It highlights key themes such as ESG integration strategies, risk management, and transparency practices that managers should focus on to improve ESG performance. Understanding how governance mechanisms like board composition influence ESG will help managers strengthen oversight. The study also emphasizes emerging issues like new technologies that managers must explore to gain competitive advantages. Finally, identifying theoretical frameworks </w:t>
      </w:r>
      <w:proofErr w:type="spellStart"/>
      <w:r w:rsidRPr="00E707F0">
        <w:rPr>
          <w:rFonts w:ascii="Georgia" w:hAnsi="Georgia"/>
          <w:color w:val="000000" w:themeColor="text1"/>
          <w:sz w:val="20"/>
          <w:szCs w:val="20"/>
        </w:rPr>
        <w:t>guidesthe</w:t>
      </w:r>
      <w:proofErr w:type="spellEnd"/>
      <w:r w:rsidRPr="00E707F0">
        <w:rPr>
          <w:rFonts w:ascii="Georgia" w:hAnsi="Georgia"/>
          <w:color w:val="000000" w:themeColor="text1"/>
          <w:sz w:val="20"/>
          <w:szCs w:val="20"/>
        </w:rPr>
        <w:t xml:space="preserve"> development of policies and strategies aligned with responsible business objectives.</w:t>
      </w:r>
    </w:p>
    <w:p w14:paraId="41A4BA0C" w14:textId="77777777" w:rsidR="003D7AE4" w:rsidRPr="00E707F0" w:rsidRDefault="003D7AE4" w:rsidP="00E707F0">
      <w:pPr>
        <w:spacing w:after="0" w:line="240" w:lineRule="auto"/>
        <w:rPr>
          <w:rFonts w:ascii="Georgia" w:hAnsi="Georgia"/>
          <w:color w:val="000000" w:themeColor="text1"/>
          <w:sz w:val="20"/>
          <w:szCs w:val="20"/>
        </w:rPr>
      </w:pPr>
    </w:p>
    <w:p w14:paraId="2A90807E" w14:textId="77777777" w:rsidR="008E37A3" w:rsidRDefault="008E37A3" w:rsidP="003D7AE4">
      <w:pPr>
        <w:pStyle w:val="Heading1"/>
        <w:spacing w:after="0" w:line="240" w:lineRule="auto"/>
        <w:jc w:val="center"/>
        <w:rPr>
          <w:rFonts w:ascii="Georgia" w:hAnsi="Georgia"/>
          <w:color w:val="2C336A"/>
          <w:sz w:val="20"/>
          <w:szCs w:val="20"/>
        </w:rPr>
      </w:pPr>
      <w:r w:rsidRPr="003D7AE4">
        <w:rPr>
          <w:rFonts w:ascii="Georgia" w:hAnsi="Georgia"/>
          <w:color w:val="2C336A"/>
          <w:sz w:val="20"/>
          <w:szCs w:val="20"/>
        </w:rPr>
        <w:t>Conclusions</w:t>
      </w:r>
    </w:p>
    <w:p w14:paraId="0B7EB983" w14:textId="77777777" w:rsidR="003D7AE4" w:rsidRPr="003D7AE4" w:rsidRDefault="003D7AE4" w:rsidP="003D7AE4">
      <w:pPr>
        <w:spacing w:after="0" w:line="240" w:lineRule="auto"/>
      </w:pPr>
    </w:p>
    <w:p w14:paraId="049E2A75" w14:textId="77777777" w:rsidR="008E37A3" w:rsidRDefault="008E37A3" w:rsidP="003D7AE4">
      <w:pPr>
        <w:spacing w:after="0" w:line="240" w:lineRule="auto"/>
        <w:rPr>
          <w:rFonts w:ascii="Georgia" w:hAnsi="Georgia"/>
          <w:color w:val="000000" w:themeColor="text1"/>
          <w:sz w:val="20"/>
          <w:szCs w:val="20"/>
        </w:rPr>
      </w:pPr>
      <w:r w:rsidRPr="00E707F0">
        <w:rPr>
          <w:rFonts w:ascii="Georgia" w:hAnsi="Georgia"/>
          <w:color w:val="000000" w:themeColor="text1"/>
          <w:sz w:val="20"/>
          <w:szCs w:val="20"/>
        </w:rPr>
        <w:t>This comprehensive analysis unveils vital insights into the intricate relationship between corporate governance and ESG, paving the way for a more sustainable future. It identified significant research areas and uncovered the theoretical underpinnings that connect these two important domains. The study also outlined opportunities for future research as understanding continues to evolve on how companies can balance the needs of diverse stakeholders through sustainable practices. With growing expectations from investors, regulators, and society, companies must strengthen governance frameworks to integrate, monitor and report on ESG initiatives effectively. The findings of this analysis can help inform strategies to advance responsible business conduct and long-term value creation.</w:t>
      </w:r>
    </w:p>
    <w:p w14:paraId="5D5B4D0A" w14:textId="77777777" w:rsidR="003D7AE4" w:rsidRPr="00E707F0" w:rsidRDefault="003D7AE4" w:rsidP="003D7AE4">
      <w:pPr>
        <w:spacing w:after="0" w:line="240" w:lineRule="auto"/>
        <w:rPr>
          <w:rFonts w:ascii="Georgia" w:hAnsi="Georgia"/>
          <w:color w:val="000000" w:themeColor="text1"/>
          <w:sz w:val="20"/>
          <w:szCs w:val="20"/>
        </w:rPr>
      </w:pPr>
    </w:p>
    <w:p w14:paraId="42CF8553" w14:textId="77777777" w:rsidR="008E37A3" w:rsidRDefault="008E37A3" w:rsidP="003D7AE4">
      <w:pPr>
        <w:pStyle w:val="Heading1"/>
        <w:spacing w:after="0" w:line="240" w:lineRule="auto"/>
        <w:jc w:val="center"/>
        <w:rPr>
          <w:rFonts w:ascii="Georgia" w:hAnsi="Georgia"/>
          <w:color w:val="2C336A"/>
          <w:sz w:val="20"/>
          <w:szCs w:val="20"/>
        </w:rPr>
      </w:pPr>
      <w:r w:rsidRPr="003D7AE4">
        <w:rPr>
          <w:rFonts w:ascii="Georgia" w:hAnsi="Georgia"/>
          <w:color w:val="2C336A"/>
          <w:sz w:val="20"/>
          <w:szCs w:val="20"/>
        </w:rPr>
        <w:t>References</w:t>
      </w:r>
    </w:p>
    <w:p w14:paraId="37C34140" w14:textId="77777777" w:rsidR="003D7AE4" w:rsidRPr="003D7AE4" w:rsidRDefault="003D7AE4" w:rsidP="003D7AE4">
      <w:pPr>
        <w:spacing w:after="0" w:line="240" w:lineRule="auto"/>
      </w:pPr>
    </w:p>
    <w:p w14:paraId="2E3A8B2F"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fldChar w:fldCharType="begin"/>
      </w:r>
      <w:r w:rsidRPr="00E707F0">
        <w:rPr>
          <w:rFonts w:ascii="Georgia" w:hAnsi="Georgia"/>
          <w:color w:val="000000" w:themeColor="text1"/>
          <w:sz w:val="20"/>
          <w:szCs w:val="20"/>
        </w:rPr>
        <w:instrText xml:space="preserve"> ADDIN ZOTERO_BIBL {"uncited":[],"omitted":[],"custom":[]} CSL_BIBLIOGRAPHY </w:instrText>
      </w:r>
      <w:r w:rsidRPr="00E707F0">
        <w:rPr>
          <w:rFonts w:ascii="Georgia" w:hAnsi="Georgia"/>
          <w:color w:val="000000" w:themeColor="text1"/>
          <w:sz w:val="20"/>
          <w:szCs w:val="20"/>
        </w:rPr>
        <w:fldChar w:fldCharType="separate"/>
      </w:r>
      <w:proofErr w:type="spellStart"/>
      <w:r w:rsidRPr="00E707F0">
        <w:rPr>
          <w:rFonts w:ascii="Georgia" w:hAnsi="Georgia"/>
          <w:color w:val="000000" w:themeColor="text1"/>
          <w:sz w:val="20"/>
          <w:szCs w:val="20"/>
        </w:rPr>
        <w:t>Adeneye</w:t>
      </w:r>
      <w:proofErr w:type="spellEnd"/>
      <w:r w:rsidRPr="00E707F0">
        <w:rPr>
          <w:rFonts w:ascii="Georgia" w:hAnsi="Georgia"/>
          <w:color w:val="000000" w:themeColor="text1"/>
          <w:sz w:val="20"/>
          <w:szCs w:val="20"/>
        </w:rPr>
        <w:t xml:space="preserve">, Y. B., Fasihi, S., Kammoun, I., &amp; Albitar, K. (2024). Does earnings management constrain ESG performance? The role of corporate governance. </w:t>
      </w:r>
      <w:r w:rsidRPr="00E707F0">
        <w:rPr>
          <w:rFonts w:ascii="Georgia" w:hAnsi="Georgia"/>
          <w:i/>
          <w:iCs/>
          <w:color w:val="000000" w:themeColor="text1"/>
          <w:sz w:val="20"/>
          <w:szCs w:val="20"/>
        </w:rPr>
        <w:t>International Journal of Disclosure and Governance</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21</w:t>
      </w:r>
      <w:r w:rsidRPr="00E707F0">
        <w:rPr>
          <w:rFonts w:ascii="Georgia" w:hAnsi="Georgia"/>
          <w:color w:val="000000" w:themeColor="text1"/>
          <w:sz w:val="20"/>
          <w:szCs w:val="20"/>
        </w:rPr>
        <w:t>(1), 69–92. https://doi.org/10.1057/s41310-023-00181-9</w:t>
      </w:r>
    </w:p>
    <w:p w14:paraId="16FA4F3C"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Amel-Zadeh, A., &amp; Serafeim, G. (2018). Why and How Investors Use ESG Information: Evidence from a Global Survey. </w:t>
      </w:r>
      <w:r w:rsidRPr="00E707F0">
        <w:rPr>
          <w:rFonts w:ascii="Georgia" w:hAnsi="Georgia"/>
          <w:i/>
          <w:iCs/>
          <w:color w:val="000000" w:themeColor="text1"/>
          <w:sz w:val="20"/>
          <w:szCs w:val="20"/>
        </w:rPr>
        <w:t>Financial Analysts Journal</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74</w:t>
      </w:r>
      <w:r w:rsidRPr="00E707F0">
        <w:rPr>
          <w:rFonts w:ascii="Georgia" w:hAnsi="Georgia"/>
          <w:color w:val="000000" w:themeColor="text1"/>
          <w:sz w:val="20"/>
          <w:szCs w:val="20"/>
        </w:rPr>
        <w:t>(3), 87–103. https://doi.org/10.2469/faj.v74.n3.2</w:t>
      </w:r>
    </w:p>
    <w:p w14:paraId="1BBE7D60"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Asif, M., Searcy, C., &amp; Castka, P. (2023). ESG and Industry 5.0: The role of technologies in enhancing ESG disclosure. </w:t>
      </w:r>
      <w:r w:rsidRPr="00E707F0">
        <w:rPr>
          <w:rFonts w:ascii="Georgia" w:hAnsi="Georgia"/>
          <w:i/>
          <w:iCs/>
          <w:color w:val="000000" w:themeColor="text1"/>
          <w:sz w:val="20"/>
          <w:szCs w:val="20"/>
        </w:rPr>
        <w:t>Technological Forecasting and Social Change</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195</w:t>
      </w:r>
      <w:r w:rsidRPr="00E707F0">
        <w:rPr>
          <w:rFonts w:ascii="Georgia" w:hAnsi="Georgia"/>
          <w:color w:val="000000" w:themeColor="text1"/>
          <w:sz w:val="20"/>
          <w:szCs w:val="20"/>
        </w:rPr>
        <w:t>, 122806. https://doi.org/10.1016/j.techfore.2023.122806</w:t>
      </w:r>
    </w:p>
    <w:p w14:paraId="75DC97C6"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Baldini, M., Maso, L. D., Liberatore, G., Mazzi, F., &amp; Terzani, S. (2018). Role of Country- and Firm-Level Determinants in Environmental, Social, and Governance Disclosure. </w:t>
      </w:r>
      <w:r w:rsidRPr="00E707F0">
        <w:rPr>
          <w:rFonts w:ascii="Georgia" w:hAnsi="Georgia"/>
          <w:i/>
          <w:iCs/>
          <w:color w:val="000000" w:themeColor="text1"/>
          <w:sz w:val="20"/>
          <w:szCs w:val="20"/>
        </w:rPr>
        <w:t>Journal of Business Ethics</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150</w:t>
      </w:r>
      <w:r w:rsidRPr="00E707F0">
        <w:rPr>
          <w:rFonts w:ascii="Georgia" w:hAnsi="Georgia"/>
          <w:color w:val="000000" w:themeColor="text1"/>
          <w:sz w:val="20"/>
          <w:szCs w:val="20"/>
        </w:rPr>
        <w:t>(1), 79–98. https://doi.org/10.1007/s10551-016-3139-1</w:t>
      </w:r>
    </w:p>
    <w:p w14:paraId="2AB78735"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Benuzzi, M., Klaser, K., &amp; Bax, K. (2024). Which ESG+F dimension matters most to retail investors? An experimental study on financial decisions and future generations. </w:t>
      </w:r>
      <w:r w:rsidRPr="00E707F0">
        <w:rPr>
          <w:rFonts w:ascii="Georgia" w:hAnsi="Georgia"/>
          <w:i/>
          <w:iCs/>
          <w:color w:val="000000" w:themeColor="text1"/>
          <w:sz w:val="20"/>
          <w:szCs w:val="20"/>
        </w:rPr>
        <w:t>Journal of Behavioral and Experimental Finance</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41</w:t>
      </w:r>
      <w:r w:rsidRPr="00E707F0">
        <w:rPr>
          <w:rFonts w:ascii="Georgia" w:hAnsi="Georgia"/>
          <w:color w:val="000000" w:themeColor="text1"/>
          <w:sz w:val="20"/>
          <w:szCs w:val="20"/>
        </w:rPr>
        <w:t>, 100882. https://doi.org/10.1016/j.jbef.2023.100882</w:t>
      </w:r>
    </w:p>
    <w:p w14:paraId="5DCAD4E5"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Berg, F., Kölbel, J. F., &amp; Rigobon, R. (2022). Aggregate Confusion: The Divergence of ESG Ratings. </w:t>
      </w:r>
      <w:r w:rsidRPr="00E707F0">
        <w:rPr>
          <w:rFonts w:ascii="Georgia" w:hAnsi="Georgia"/>
          <w:i/>
          <w:iCs/>
          <w:color w:val="000000" w:themeColor="text1"/>
          <w:sz w:val="20"/>
          <w:szCs w:val="20"/>
        </w:rPr>
        <w:t>Review of Finance</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26</w:t>
      </w:r>
      <w:r w:rsidRPr="00E707F0">
        <w:rPr>
          <w:rFonts w:ascii="Georgia" w:hAnsi="Georgia"/>
          <w:color w:val="000000" w:themeColor="text1"/>
          <w:sz w:val="20"/>
          <w:szCs w:val="20"/>
        </w:rPr>
        <w:t>(6), 1315–1344. https://doi.org/10.1093/rof/rfac033</w:t>
      </w:r>
    </w:p>
    <w:p w14:paraId="49562A76"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Beunza, D., &amp; Ferraro, F. (2019). Performative Work: Bridging Performativity and Institutional Theory in the Responsible Investment Field. </w:t>
      </w:r>
      <w:r w:rsidRPr="00E707F0">
        <w:rPr>
          <w:rFonts w:ascii="Georgia" w:hAnsi="Georgia"/>
          <w:i/>
          <w:iCs/>
          <w:color w:val="000000" w:themeColor="text1"/>
          <w:sz w:val="20"/>
          <w:szCs w:val="20"/>
        </w:rPr>
        <w:t>Organization Studies</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40</w:t>
      </w:r>
      <w:r w:rsidRPr="00E707F0">
        <w:rPr>
          <w:rFonts w:ascii="Georgia" w:hAnsi="Georgia"/>
          <w:color w:val="000000" w:themeColor="text1"/>
          <w:sz w:val="20"/>
          <w:szCs w:val="20"/>
        </w:rPr>
        <w:t>(4), 515–543. https://doi.org/10.1177/0170840617747917</w:t>
      </w:r>
    </w:p>
    <w:p w14:paraId="09A7BF78"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lastRenderedPageBreak/>
        <w:t xml:space="preserve">Birindelli, G., Chiappini, H., &amp; Jalal, R. N.-U.-D. (2024). Greenwashing, bank financial performance and the moderating role of gender diversity. </w:t>
      </w:r>
      <w:r w:rsidRPr="00E707F0">
        <w:rPr>
          <w:rFonts w:ascii="Georgia" w:hAnsi="Georgia"/>
          <w:i/>
          <w:iCs/>
          <w:color w:val="000000" w:themeColor="text1"/>
          <w:sz w:val="20"/>
          <w:szCs w:val="20"/>
        </w:rPr>
        <w:t>Research in International Business and Finance</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69</w:t>
      </w:r>
      <w:r w:rsidRPr="00E707F0">
        <w:rPr>
          <w:rFonts w:ascii="Georgia" w:hAnsi="Georgia"/>
          <w:color w:val="000000" w:themeColor="text1"/>
          <w:sz w:val="20"/>
          <w:szCs w:val="20"/>
        </w:rPr>
        <w:t>, 102235. https://doi.org/10.1016/j.ribaf.2024.102235</w:t>
      </w:r>
    </w:p>
    <w:p w14:paraId="036926D4"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Brooks, C., &amp; Oikonomou, I. (2018). The effects of environmental, social and governance disclosures and performance on firm value: A review of the literature in accounting and finance. </w:t>
      </w:r>
      <w:r w:rsidRPr="00E707F0">
        <w:rPr>
          <w:rFonts w:ascii="Georgia" w:hAnsi="Georgia"/>
          <w:i/>
          <w:iCs/>
          <w:color w:val="000000" w:themeColor="text1"/>
          <w:sz w:val="20"/>
          <w:szCs w:val="20"/>
        </w:rPr>
        <w:t>The British Accounting Review</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50</w:t>
      </w:r>
      <w:r w:rsidRPr="00E707F0">
        <w:rPr>
          <w:rFonts w:ascii="Georgia" w:hAnsi="Georgia"/>
          <w:color w:val="000000" w:themeColor="text1"/>
          <w:sz w:val="20"/>
          <w:szCs w:val="20"/>
        </w:rPr>
        <w:t>(1), 1–15. https://doi.org/10.1016/j.bar.2017.11.005</w:t>
      </w:r>
    </w:p>
    <w:p w14:paraId="74034A63"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Cheng, B., Ioannou, I., &amp; Serafeim, G. (2014). Corporate social responsibility and access to finance. </w:t>
      </w:r>
      <w:r w:rsidRPr="00E707F0">
        <w:rPr>
          <w:rFonts w:ascii="Georgia" w:hAnsi="Georgia"/>
          <w:i/>
          <w:iCs/>
          <w:color w:val="000000" w:themeColor="text1"/>
          <w:sz w:val="20"/>
          <w:szCs w:val="20"/>
        </w:rPr>
        <w:t>Strategic Management Journal</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35</w:t>
      </w:r>
      <w:r w:rsidRPr="00E707F0">
        <w:rPr>
          <w:rFonts w:ascii="Georgia" w:hAnsi="Georgia"/>
          <w:color w:val="000000" w:themeColor="text1"/>
          <w:sz w:val="20"/>
          <w:szCs w:val="20"/>
        </w:rPr>
        <w:t>(1), 1–23. https://doi.org/10.1002/smj.2131</w:t>
      </w:r>
    </w:p>
    <w:p w14:paraId="3D499AB9" w14:textId="77777777" w:rsidR="00460ABD"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Chevrollier, N., Zhang, J., Van Leeuwen, T., &amp; Nijhof, A. (2020). The predictive value of strategic orientation for ESG performance over time. </w:t>
      </w:r>
      <w:r w:rsidRPr="00E707F0">
        <w:rPr>
          <w:rFonts w:ascii="Georgia" w:hAnsi="Georgia"/>
          <w:i/>
          <w:iCs/>
          <w:color w:val="000000" w:themeColor="text1"/>
          <w:sz w:val="20"/>
          <w:szCs w:val="20"/>
        </w:rPr>
        <w:t>Corporate Governance: The International Journal of Business in Society</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20</w:t>
      </w:r>
      <w:r w:rsidRPr="00E707F0">
        <w:rPr>
          <w:rFonts w:ascii="Georgia" w:hAnsi="Georgia"/>
          <w:color w:val="000000" w:themeColor="text1"/>
          <w:sz w:val="20"/>
          <w:szCs w:val="20"/>
        </w:rPr>
        <w:t>(1), 123–142. https://doi.org/10.1108/CG-03-2019-0105</w:t>
      </w:r>
    </w:p>
    <w:p w14:paraId="4BC16E44"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Chouaibi, S., Chouaibi, Y., &amp; Zouari, G. (2022). Board characteristics and integrated reporting quality: Evidence from ESG European companies. </w:t>
      </w:r>
      <w:r w:rsidRPr="00E707F0">
        <w:rPr>
          <w:rFonts w:ascii="Georgia" w:hAnsi="Georgia"/>
          <w:i/>
          <w:iCs/>
          <w:color w:val="000000" w:themeColor="text1"/>
          <w:sz w:val="20"/>
          <w:szCs w:val="20"/>
        </w:rPr>
        <w:t>EuroMed Journal of Business</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17</w:t>
      </w:r>
      <w:r w:rsidRPr="00E707F0">
        <w:rPr>
          <w:rFonts w:ascii="Georgia" w:hAnsi="Georgia"/>
          <w:color w:val="000000" w:themeColor="text1"/>
          <w:sz w:val="20"/>
          <w:szCs w:val="20"/>
        </w:rPr>
        <w:t>(4), 425–447. https://doi.org/10.1108/EMJB-11-2020-0121</w:t>
      </w:r>
    </w:p>
    <w:p w14:paraId="56B01658"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Cucari, N., Esposito De Falco, S., &amp; Orlando, B. (2018). Diversity of Board of Directors and Environmental Social Governance: Evidence from Italian Listed Companies. </w:t>
      </w:r>
      <w:r w:rsidRPr="00E707F0">
        <w:rPr>
          <w:rFonts w:ascii="Georgia" w:hAnsi="Georgia"/>
          <w:i/>
          <w:iCs/>
          <w:color w:val="000000" w:themeColor="text1"/>
          <w:sz w:val="20"/>
          <w:szCs w:val="20"/>
        </w:rPr>
        <w:t>Corporate Social Responsibility and Environmental Management</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25</w:t>
      </w:r>
      <w:r w:rsidRPr="00E707F0">
        <w:rPr>
          <w:rFonts w:ascii="Georgia" w:hAnsi="Georgia"/>
          <w:color w:val="000000" w:themeColor="text1"/>
          <w:sz w:val="20"/>
          <w:szCs w:val="20"/>
        </w:rPr>
        <w:t>(3), 250–266. https://doi.org/10.1002/csr.1452</w:t>
      </w:r>
    </w:p>
    <w:p w14:paraId="3C562089"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Dallas, G., &amp; Lubrano, M. (2022). </w:t>
      </w:r>
      <w:r w:rsidRPr="00E707F0">
        <w:rPr>
          <w:rFonts w:ascii="Georgia" w:hAnsi="Georgia"/>
          <w:i/>
          <w:iCs/>
          <w:color w:val="000000" w:themeColor="text1"/>
          <w:sz w:val="20"/>
          <w:szCs w:val="20"/>
        </w:rPr>
        <w:t>Governance, Stewardship and Sustainability: Theory, Practice and Evidence</w:t>
      </w:r>
      <w:r w:rsidRPr="00E707F0">
        <w:rPr>
          <w:rFonts w:ascii="Georgia" w:hAnsi="Georgia"/>
          <w:color w:val="000000" w:themeColor="text1"/>
          <w:sz w:val="20"/>
          <w:szCs w:val="20"/>
        </w:rPr>
        <w:t xml:space="preserve"> (2nd ed.). Routledge. https://doi.org/10.4324/9781003307082</w:t>
      </w:r>
    </w:p>
    <w:p w14:paraId="4F2AF731"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De Silva Lokuwaduge, C. S., &amp; De Silva, K. M. (2022). ESG Risk Disclosure and the Risk of Green Washing. </w:t>
      </w:r>
      <w:r w:rsidRPr="00E707F0">
        <w:rPr>
          <w:rFonts w:ascii="Georgia" w:hAnsi="Georgia"/>
          <w:i/>
          <w:iCs/>
          <w:color w:val="000000" w:themeColor="text1"/>
          <w:sz w:val="20"/>
          <w:szCs w:val="20"/>
        </w:rPr>
        <w:t>Australasian Business, Accounting and Finance Journal</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16</w:t>
      </w:r>
      <w:r w:rsidRPr="00E707F0">
        <w:rPr>
          <w:rFonts w:ascii="Georgia" w:hAnsi="Georgia"/>
          <w:color w:val="000000" w:themeColor="text1"/>
          <w:sz w:val="20"/>
          <w:szCs w:val="20"/>
        </w:rPr>
        <w:t>(1), 146–159. https://doi.org/10.14453/aabfj.v16i1.10</w:t>
      </w:r>
    </w:p>
    <w:p w14:paraId="3E5A0152"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Del Gesso, C., &amp; Lodhi, R. N. (2024). Theories underlying environmental, social and governance (ESG) disclosure: A systematic review of accounting studies. </w:t>
      </w:r>
      <w:r w:rsidRPr="00E707F0">
        <w:rPr>
          <w:rFonts w:ascii="Georgia" w:hAnsi="Georgia"/>
          <w:i/>
          <w:iCs/>
          <w:color w:val="000000" w:themeColor="text1"/>
          <w:sz w:val="20"/>
          <w:szCs w:val="20"/>
        </w:rPr>
        <w:t>Journal of Accounting Literature</w:t>
      </w:r>
      <w:r w:rsidRPr="00E707F0">
        <w:rPr>
          <w:rFonts w:ascii="Georgia" w:hAnsi="Georgia"/>
          <w:color w:val="000000" w:themeColor="text1"/>
          <w:sz w:val="20"/>
          <w:szCs w:val="20"/>
        </w:rPr>
        <w:t>. https://doi.org/10.1108/JAL-08-2023-0143</w:t>
      </w:r>
    </w:p>
    <w:p w14:paraId="1DF17D8F"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Delgado-Ceballos, J., Ortiz-De-Mandojana, N., Antolín-López, R., &amp; Montiel, I. (2023). Connecting the Sustainable Development Goals to firm-level sustainability and ESG factors: The need for double materiality. </w:t>
      </w:r>
      <w:r w:rsidRPr="00E707F0">
        <w:rPr>
          <w:rFonts w:ascii="Georgia" w:hAnsi="Georgia"/>
          <w:i/>
          <w:iCs/>
          <w:color w:val="000000" w:themeColor="text1"/>
          <w:sz w:val="20"/>
          <w:szCs w:val="20"/>
        </w:rPr>
        <w:t>BRQ Business Research Quarterly</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26</w:t>
      </w:r>
      <w:r w:rsidRPr="00E707F0">
        <w:rPr>
          <w:rFonts w:ascii="Georgia" w:hAnsi="Georgia"/>
          <w:color w:val="000000" w:themeColor="text1"/>
          <w:sz w:val="20"/>
          <w:szCs w:val="20"/>
        </w:rPr>
        <w:t>(1), 2–10. https://doi.org/10.1177/23409444221140919</w:t>
      </w:r>
    </w:p>
    <w:p w14:paraId="546A9776"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Drempetic, S., Klein, C., &amp; Zwergel, B. (2020). The Influence of Firm Size on the ESG Score: Corporate Sustainability Ratings Under Review. </w:t>
      </w:r>
      <w:r w:rsidRPr="00E707F0">
        <w:rPr>
          <w:rFonts w:ascii="Georgia" w:hAnsi="Georgia"/>
          <w:i/>
          <w:iCs/>
          <w:color w:val="000000" w:themeColor="text1"/>
          <w:sz w:val="20"/>
          <w:szCs w:val="20"/>
        </w:rPr>
        <w:t>Journal of Business Ethics</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167</w:t>
      </w:r>
      <w:r w:rsidRPr="00E707F0">
        <w:rPr>
          <w:rFonts w:ascii="Georgia" w:hAnsi="Georgia"/>
          <w:color w:val="000000" w:themeColor="text1"/>
          <w:sz w:val="20"/>
          <w:szCs w:val="20"/>
        </w:rPr>
        <w:t>(2), 333–360. https://doi.org/10.1007/s10551-019-04164-1</w:t>
      </w:r>
    </w:p>
    <w:p w14:paraId="184172C5"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Espinosa-Méndez, C., Maquieira, C. P., &amp; Arias, J. T. (2023). The Impact of ESG Performance on the Value of Family Firms: The Moderating Role of Financial Constraints and Agency Problems. </w:t>
      </w:r>
      <w:r w:rsidRPr="00E707F0">
        <w:rPr>
          <w:rFonts w:ascii="Georgia" w:hAnsi="Georgia"/>
          <w:i/>
          <w:iCs/>
          <w:color w:val="000000" w:themeColor="text1"/>
          <w:sz w:val="20"/>
          <w:szCs w:val="20"/>
        </w:rPr>
        <w:t>Sustainability</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15</w:t>
      </w:r>
      <w:r w:rsidRPr="00E707F0">
        <w:rPr>
          <w:rFonts w:ascii="Georgia" w:hAnsi="Georgia"/>
          <w:color w:val="000000" w:themeColor="text1"/>
          <w:sz w:val="20"/>
          <w:szCs w:val="20"/>
        </w:rPr>
        <w:t>(7), 6176. https://doi.org/10.3390/su15076176</w:t>
      </w:r>
    </w:p>
    <w:p w14:paraId="21DCAE6F"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Fatemi, A., Glaum, M., &amp; Kaiser, S. (2018). ESG performance and firm value: The moderating role of disclosure. </w:t>
      </w:r>
      <w:r w:rsidRPr="00E707F0">
        <w:rPr>
          <w:rFonts w:ascii="Georgia" w:hAnsi="Georgia"/>
          <w:i/>
          <w:iCs/>
          <w:color w:val="000000" w:themeColor="text1"/>
          <w:sz w:val="20"/>
          <w:szCs w:val="20"/>
        </w:rPr>
        <w:t>Global Finance Journal</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38</w:t>
      </w:r>
      <w:r w:rsidRPr="00E707F0">
        <w:rPr>
          <w:rFonts w:ascii="Georgia" w:hAnsi="Georgia"/>
          <w:color w:val="000000" w:themeColor="text1"/>
          <w:sz w:val="20"/>
          <w:szCs w:val="20"/>
        </w:rPr>
        <w:t>, 45–64. https://doi.org/10.1016/j.gfj.2017.03.001</w:t>
      </w:r>
    </w:p>
    <w:p w14:paraId="2A1C9B03"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Galletta, S., Mazzù, S., &amp; Naciti, V. (2022). A bibliometric analysis of ESG performance in the banking industry: From the current status to future directions. </w:t>
      </w:r>
      <w:r w:rsidRPr="00E707F0">
        <w:rPr>
          <w:rFonts w:ascii="Georgia" w:hAnsi="Georgia"/>
          <w:i/>
          <w:iCs/>
          <w:color w:val="000000" w:themeColor="text1"/>
          <w:sz w:val="20"/>
          <w:szCs w:val="20"/>
        </w:rPr>
        <w:t>Research in International Business and Finance</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62</w:t>
      </w:r>
      <w:r w:rsidRPr="00E707F0">
        <w:rPr>
          <w:rFonts w:ascii="Georgia" w:hAnsi="Georgia"/>
          <w:color w:val="000000" w:themeColor="text1"/>
          <w:sz w:val="20"/>
          <w:szCs w:val="20"/>
        </w:rPr>
        <w:t>, 101684. https://doi.org/10.1016/j.ribaf.2022.101684</w:t>
      </w:r>
    </w:p>
    <w:p w14:paraId="26738EE5"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Garcia, A. S., Mendes-Da-Silva, W., &amp; Orsato, R. J. (2017). Sensitive industries produce better ESG performance: Evidence from emerging markets. </w:t>
      </w:r>
      <w:r w:rsidRPr="00E707F0">
        <w:rPr>
          <w:rFonts w:ascii="Georgia" w:hAnsi="Georgia"/>
          <w:i/>
          <w:iCs/>
          <w:color w:val="000000" w:themeColor="text1"/>
          <w:sz w:val="20"/>
          <w:szCs w:val="20"/>
        </w:rPr>
        <w:t>Journal of Cleaner Production</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150</w:t>
      </w:r>
      <w:r w:rsidRPr="00E707F0">
        <w:rPr>
          <w:rFonts w:ascii="Georgia" w:hAnsi="Georgia"/>
          <w:color w:val="000000" w:themeColor="text1"/>
          <w:sz w:val="20"/>
          <w:szCs w:val="20"/>
        </w:rPr>
        <w:t>, 135–147. https://doi.org/10.1016/j.jclepro.2017.02.180</w:t>
      </w:r>
    </w:p>
    <w:p w14:paraId="3A3DA1A3"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Gillan, S. L., Koch, A., &amp; Starks, L. T. (2021). Firms and social responsibility: A review of ESG and CSR research in corporate finance. </w:t>
      </w:r>
      <w:r w:rsidRPr="00E707F0">
        <w:rPr>
          <w:rFonts w:ascii="Georgia" w:hAnsi="Georgia"/>
          <w:i/>
          <w:iCs/>
          <w:color w:val="000000" w:themeColor="text1"/>
          <w:sz w:val="20"/>
          <w:szCs w:val="20"/>
        </w:rPr>
        <w:t>Journal of Corporate Finance</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66</w:t>
      </w:r>
      <w:r w:rsidRPr="00E707F0">
        <w:rPr>
          <w:rFonts w:ascii="Georgia" w:hAnsi="Georgia"/>
          <w:color w:val="000000" w:themeColor="text1"/>
          <w:sz w:val="20"/>
          <w:szCs w:val="20"/>
        </w:rPr>
        <w:t>, 101889. https://doi.org/10.1016/j.jcorpfin.2021.101889</w:t>
      </w:r>
    </w:p>
    <w:p w14:paraId="696EB7C3"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Hoang, T. (2018). The Role of the Integrated Reporting in Raising Awareness of Environmental, Social and Corporate Governance (ESG) Performance. In S. Seifi &amp; D. Crowther (Eds.), </w:t>
      </w:r>
      <w:r w:rsidRPr="00E707F0">
        <w:rPr>
          <w:rFonts w:ascii="Georgia" w:hAnsi="Georgia"/>
          <w:i/>
          <w:iCs/>
          <w:color w:val="000000" w:themeColor="text1"/>
          <w:sz w:val="20"/>
          <w:szCs w:val="20"/>
        </w:rPr>
        <w:t>Developments in Corporate Governance and Responsibility</w:t>
      </w:r>
      <w:r w:rsidRPr="00E707F0">
        <w:rPr>
          <w:rFonts w:ascii="Georgia" w:hAnsi="Georgia"/>
          <w:color w:val="000000" w:themeColor="text1"/>
          <w:sz w:val="20"/>
          <w:szCs w:val="20"/>
        </w:rPr>
        <w:t xml:space="preserve"> (Vol. 14, pp. 47–69). Emerald Publishing Limited. https://doi.org/10.1108/S2043-052320180000014003</w:t>
      </w:r>
    </w:p>
    <w:p w14:paraId="578CB3F7"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Huang, D. Z. (2022). An integrated theory of the firm approach to environmental, social and governance performance. </w:t>
      </w:r>
      <w:r w:rsidRPr="00E707F0">
        <w:rPr>
          <w:rFonts w:ascii="Georgia" w:hAnsi="Georgia"/>
          <w:i/>
          <w:iCs/>
          <w:color w:val="000000" w:themeColor="text1"/>
          <w:sz w:val="20"/>
          <w:szCs w:val="20"/>
        </w:rPr>
        <w:t>Accounting &amp; Finance</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62</w:t>
      </w:r>
      <w:r w:rsidRPr="00E707F0">
        <w:rPr>
          <w:rFonts w:ascii="Georgia" w:hAnsi="Georgia"/>
          <w:color w:val="000000" w:themeColor="text1"/>
          <w:sz w:val="20"/>
          <w:szCs w:val="20"/>
        </w:rPr>
        <w:t>(S1), 1567–1598. https://doi.org/10.1111/acfi.12832</w:t>
      </w:r>
    </w:p>
    <w:p w14:paraId="4BE0FBCC"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Kenneth David, L., Wang, J., Angel, V., &amp; Luo, M. (2024). Environmental commitments and Innovation in China's corporate landscape: An analysis of ESG governance strategies. </w:t>
      </w:r>
      <w:r w:rsidRPr="00E707F0">
        <w:rPr>
          <w:rFonts w:ascii="Georgia" w:hAnsi="Georgia"/>
          <w:i/>
          <w:iCs/>
          <w:color w:val="000000" w:themeColor="text1"/>
          <w:sz w:val="20"/>
          <w:szCs w:val="20"/>
        </w:rPr>
        <w:t>Journal of Environmental Management</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349</w:t>
      </w:r>
      <w:r w:rsidRPr="00E707F0">
        <w:rPr>
          <w:rFonts w:ascii="Georgia" w:hAnsi="Georgia"/>
          <w:color w:val="000000" w:themeColor="text1"/>
          <w:sz w:val="20"/>
          <w:szCs w:val="20"/>
        </w:rPr>
        <w:t>, 119529. https://doi.org/10.1016/j.jenvman.2023.119529</w:t>
      </w:r>
    </w:p>
    <w:p w14:paraId="11289EA0"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Khaled, R., Ali, H., &amp; Mohamed, E. K. A. (2021). The Sustainable Development Goals and corporate sustainability performance: Mapping, extent and determinants. </w:t>
      </w:r>
      <w:r w:rsidRPr="00E707F0">
        <w:rPr>
          <w:rFonts w:ascii="Georgia" w:hAnsi="Georgia"/>
          <w:i/>
          <w:iCs/>
          <w:color w:val="000000" w:themeColor="text1"/>
          <w:sz w:val="20"/>
          <w:szCs w:val="20"/>
        </w:rPr>
        <w:t>Journal of Cleaner Production</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311</w:t>
      </w:r>
      <w:r w:rsidRPr="00E707F0">
        <w:rPr>
          <w:rFonts w:ascii="Georgia" w:hAnsi="Georgia"/>
          <w:color w:val="000000" w:themeColor="text1"/>
          <w:sz w:val="20"/>
          <w:szCs w:val="20"/>
        </w:rPr>
        <w:t>, 127599. https://doi.org/10.1016/j.jclepro.2021.127599</w:t>
      </w:r>
    </w:p>
    <w:p w14:paraId="5E5A079C"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Kölbel, J. F., Busch, T., &amp; Jancso, L. M. (2017). How Media Coverage of Corporate Social Irresponsibility Increases Financial Risk: Media Coverage of Corporate Social Irresponsibility. </w:t>
      </w:r>
      <w:r w:rsidRPr="00E707F0">
        <w:rPr>
          <w:rFonts w:ascii="Georgia" w:hAnsi="Georgia"/>
          <w:i/>
          <w:iCs/>
          <w:color w:val="000000" w:themeColor="text1"/>
          <w:sz w:val="20"/>
          <w:szCs w:val="20"/>
        </w:rPr>
        <w:t>Strategic Management Journal</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38</w:t>
      </w:r>
      <w:r w:rsidRPr="00E707F0">
        <w:rPr>
          <w:rFonts w:ascii="Georgia" w:hAnsi="Georgia"/>
          <w:color w:val="000000" w:themeColor="text1"/>
          <w:sz w:val="20"/>
          <w:szCs w:val="20"/>
        </w:rPr>
        <w:t>(11), 2266–2284. https://doi.org/10.1002/smj.2647</w:t>
      </w:r>
    </w:p>
    <w:p w14:paraId="3EE2E14F"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Kuzmina, J., Maditinos, D., Norena-Chavez, D., Grima, S., &amp; Kadłubek, M. (2023). ESG Integration as a Risk Management Tool within the Financial Decision-making Process. In S. Grima, E. Thalassinos, M. Cristea, M. Kadłubek, D. Maditinos, &amp; L. Peiseniece (Eds.), </w:t>
      </w:r>
      <w:r w:rsidRPr="00E707F0">
        <w:rPr>
          <w:rFonts w:ascii="Georgia" w:hAnsi="Georgia"/>
          <w:i/>
          <w:iCs/>
          <w:color w:val="000000" w:themeColor="text1"/>
          <w:sz w:val="20"/>
          <w:szCs w:val="20"/>
        </w:rPr>
        <w:t xml:space="preserve">Contemporary Studies in Economic and </w:t>
      </w:r>
      <w:r w:rsidRPr="00E707F0">
        <w:rPr>
          <w:rFonts w:ascii="Georgia" w:hAnsi="Georgia"/>
          <w:i/>
          <w:iCs/>
          <w:color w:val="000000" w:themeColor="text1"/>
          <w:sz w:val="20"/>
          <w:szCs w:val="20"/>
        </w:rPr>
        <w:lastRenderedPageBreak/>
        <w:t>Financial Analysis</w:t>
      </w:r>
      <w:r w:rsidRPr="00E707F0">
        <w:rPr>
          <w:rFonts w:ascii="Georgia" w:hAnsi="Georgia"/>
          <w:color w:val="000000" w:themeColor="text1"/>
          <w:sz w:val="20"/>
          <w:szCs w:val="20"/>
        </w:rPr>
        <w:t xml:space="preserve"> (pp. 105–113). Emerald Publishing Limited. https://doi.org/10.1108/S1569-37592023000111A007</w:t>
      </w:r>
    </w:p>
    <w:p w14:paraId="20EA7449"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Lee, S. P., &amp; Isa, M. (2020). Environmental, Social and Governance (ESG) Practices and Performance in Shariah Firms: Agency or Stakeholder Theory? </w:t>
      </w:r>
      <w:r w:rsidRPr="00E707F0">
        <w:rPr>
          <w:rFonts w:ascii="Georgia" w:hAnsi="Georgia"/>
          <w:i/>
          <w:iCs/>
          <w:color w:val="000000" w:themeColor="text1"/>
          <w:sz w:val="20"/>
          <w:szCs w:val="20"/>
        </w:rPr>
        <w:t>Asian Academy of Management Journal of Accounting and Finance</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16</w:t>
      </w:r>
      <w:r w:rsidRPr="00E707F0">
        <w:rPr>
          <w:rFonts w:ascii="Georgia" w:hAnsi="Georgia"/>
          <w:color w:val="000000" w:themeColor="text1"/>
          <w:sz w:val="20"/>
          <w:szCs w:val="20"/>
        </w:rPr>
        <w:t>(1), 1–34. https://doi.org/10.21315/aamjaf2020.16.1.1</w:t>
      </w:r>
    </w:p>
    <w:p w14:paraId="5D7BCD2A"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Lewellyn, K., &amp; Muller-Kahle, M. (2023). ESG Leaders or Laggards? A Configurational Analysis of ESG Performance. </w:t>
      </w:r>
      <w:r w:rsidRPr="00E707F0">
        <w:rPr>
          <w:rFonts w:ascii="Georgia" w:hAnsi="Georgia"/>
          <w:i/>
          <w:iCs/>
          <w:color w:val="000000" w:themeColor="text1"/>
          <w:sz w:val="20"/>
          <w:szCs w:val="20"/>
        </w:rPr>
        <w:t>Business &amp; Society</w:t>
      </w:r>
      <w:r w:rsidRPr="00E707F0">
        <w:rPr>
          <w:rFonts w:ascii="Georgia" w:hAnsi="Georgia"/>
          <w:color w:val="000000" w:themeColor="text1"/>
          <w:sz w:val="20"/>
          <w:szCs w:val="20"/>
        </w:rPr>
        <w:t>, 00076503231182688. https://doi.org/10.1177/00076503231182688</w:t>
      </w:r>
    </w:p>
    <w:p w14:paraId="717AAA62"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Li, W., &amp; Pang, W. (2023). The impact of digital inclusive finance on corporate ESG performance: Based on the perspective of corporate green technology innovation. </w:t>
      </w:r>
      <w:r w:rsidRPr="00E707F0">
        <w:rPr>
          <w:rFonts w:ascii="Georgia" w:hAnsi="Georgia"/>
          <w:i/>
          <w:iCs/>
          <w:color w:val="000000" w:themeColor="text1"/>
          <w:sz w:val="20"/>
          <w:szCs w:val="20"/>
        </w:rPr>
        <w:t>Environmental Science and Pollution Research</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30</w:t>
      </w:r>
      <w:r w:rsidRPr="00E707F0">
        <w:rPr>
          <w:rFonts w:ascii="Georgia" w:hAnsi="Georgia"/>
          <w:color w:val="000000" w:themeColor="text1"/>
          <w:sz w:val="20"/>
          <w:szCs w:val="20"/>
        </w:rPr>
        <w:t>(24), 65314–65327. https://doi.org/10.1007/s11356-023-27057-3</w:t>
      </w:r>
    </w:p>
    <w:p w14:paraId="09E7618C"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Li, Y., Gong, M., Zhang, X.-Y., &amp; Koh, L. (2018). The impact of environmental, social, and governance disclosure on firm value: The role of CEO power. </w:t>
      </w:r>
      <w:r w:rsidRPr="00E707F0">
        <w:rPr>
          <w:rFonts w:ascii="Georgia" w:hAnsi="Georgia"/>
          <w:i/>
          <w:iCs/>
          <w:color w:val="000000" w:themeColor="text1"/>
          <w:sz w:val="20"/>
          <w:szCs w:val="20"/>
        </w:rPr>
        <w:t>The British Accounting Review</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50</w:t>
      </w:r>
      <w:r w:rsidRPr="00E707F0">
        <w:rPr>
          <w:rFonts w:ascii="Georgia" w:hAnsi="Georgia"/>
          <w:color w:val="000000" w:themeColor="text1"/>
          <w:sz w:val="20"/>
          <w:szCs w:val="20"/>
        </w:rPr>
        <w:t>(1), 60–75. https://doi.org/10.1016/j.bar.2017.09.007</w:t>
      </w:r>
    </w:p>
    <w:p w14:paraId="0C95F9BA"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Liu, M., Lu, J., Liu, Q., Wang, H., Yang, Y., &amp; Fang, S. (2024). The impact of executive cognitive characteristics on a firm's ESG performance: An institutional theory perspective. </w:t>
      </w:r>
      <w:r w:rsidRPr="00E707F0">
        <w:rPr>
          <w:rFonts w:ascii="Georgia" w:hAnsi="Georgia"/>
          <w:i/>
          <w:iCs/>
          <w:color w:val="000000" w:themeColor="text1"/>
          <w:sz w:val="20"/>
          <w:szCs w:val="20"/>
        </w:rPr>
        <w:t>Journal of Management and Governance</w:t>
      </w:r>
      <w:r w:rsidRPr="00E707F0">
        <w:rPr>
          <w:rFonts w:ascii="Georgia" w:hAnsi="Georgia"/>
          <w:color w:val="000000" w:themeColor="text1"/>
          <w:sz w:val="20"/>
          <w:szCs w:val="20"/>
        </w:rPr>
        <w:t>. https://doi.org/10.1007/s10997-024-09695-y</w:t>
      </w:r>
    </w:p>
    <w:p w14:paraId="7099FB15"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Liu, Z., Zheng, R., Qiu, Z., &amp; Jiang, X. (2022). Stakeholders and ESG disclosure strategies adoption: The role of goals compatibility and resources dependence. </w:t>
      </w:r>
      <w:r w:rsidRPr="00E707F0">
        <w:rPr>
          <w:rFonts w:ascii="Georgia" w:hAnsi="Georgia"/>
          <w:i/>
          <w:iCs/>
          <w:color w:val="000000" w:themeColor="text1"/>
          <w:sz w:val="20"/>
          <w:szCs w:val="20"/>
        </w:rPr>
        <w:t>Elementa: Science of the Anthropocene</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10</w:t>
      </w:r>
      <w:r w:rsidRPr="00E707F0">
        <w:rPr>
          <w:rFonts w:ascii="Georgia" w:hAnsi="Georgia"/>
          <w:color w:val="000000" w:themeColor="text1"/>
          <w:sz w:val="20"/>
          <w:szCs w:val="20"/>
        </w:rPr>
        <w:t>(1), 00044. https://doi.org/10.1525/elementa.2022.00044</w:t>
      </w:r>
    </w:p>
    <w:p w14:paraId="5E423C67"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Long, H., Feng, G.-F., &amp; Chang, C.-P. (2023). How does ESG performance promote corporate green innovation? </w:t>
      </w:r>
      <w:r w:rsidRPr="00E707F0">
        <w:rPr>
          <w:rFonts w:ascii="Georgia" w:hAnsi="Georgia"/>
          <w:i/>
          <w:iCs/>
          <w:color w:val="000000" w:themeColor="text1"/>
          <w:sz w:val="20"/>
          <w:szCs w:val="20"/>
        </w:rPr>
        <w:t>Economic Change and Restructuring</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56</w:t>
      </w:r>
      <w:r w:rsidRPr="00E707F0">
        <w:rPr>
          <w:rFonts w:ascii="Georgia" w:hAnsi="Georgia"/>
          <w:color w:val="000000" w:themeColor="text1"/>
          <w:sz w:val="20"/>
          <w:szCs w:val="20"/>
        </w:rPr>
        <w:t>(4), 2889–2913. https://doi.org/10.1007/s10644-023-09536-2</w:t>
      </w:r>
    </w:p>
    <w:p w14:paraId="2E142B4A"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Mahmud, M. T. (2019). </w:t>
      </w:r>
      <w:r w:rsidRPr="00E707F0">
        <w:rPr>
          <w:rFonts w:ascii="Georgia" w:hAnsi="Georgia"/>
          <w:i/>
          <w:iCs/>
          <w:color w:val="000000" w:themeColor="text1"/>
          <w:sz w:val="20"/>
          <w:szCs w:val="20"/>
        </w:rPr>
        <w:t>Legitimacy Theory and its Relationship to CSR Disclosures: A Literature Review</w:t>
      </w:r>
      <w:r w:rsidRPr="00E707F0">
        <w:rPr>
          <w:rFonts w:ascii="Georgia" w:hAnsi="Georgia"/>
          <w:color w:val="000000" w:themeColor="text1"/>
          <w:sz w:val="20"/>
          <w:szCs w:val="20"/>
        </w:rPr>
        <w:t>. Kyushu Daigaku Daigakuin Keizaigakukai. https://doi.org/10.15017/2230676</w:t>
      </w:r>
    </w:p>
    <w:p w14:paraId="56CD70A0"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Mahmud, T. (2020). </w:t>
      </w:r>
      <w:r w:rsidRPr="00E707F0">
        <w:rPr>
          <w:rFonts w:ascii="Georgia" w:hAnsi="Georgia"/>
          <w:i/>
          <w:iCs/>
          <w:color w:val="000000" w:themeColor="text1"/>
          <w:sz w:val="20"/>
          <w:szCs w:val="20"/>
        </w:rPr>
        <w:t>Quest for a Single Theory to Explain Managerial Motivations for Sustainability Disclosures: Legitimacy Theory, Stakeholder Theory or Institutional Theory</w:t>
      </w:r>
      <w:r w:rsidRPr="00E707F0">
        <w:rPr>
          <w:rFonts w:ascii="Georgia" w:hAnsi="Georgia"/>
          <w:color w:val="000000" w:themeColor="text1"/>
          <w:sz w:val="20"/>
          <w:szCs w:val="20"/>
        </w:rPr>
        <w:t>. https://jaias.org/content/files/pdf/academic_records/2019bulletin/12.pdf</w:t>
      </w:r>
    </w:p>
    <w:p w14:paraId="2266938D"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Manda, V. K., &amp; Khaliq, L. N. (2023). Corporate Governance Failure and the Regulatory Fight Against It: An Examination of Select Instances </w:t>
      </w:r>
      <w:proofErr w:type="gramStart"/>
      <w:r w:rsidRPr="00E707F0">
        <w:rPr>
          <w:rFonts w:ascii="Georgia" w:hAnsi="Georgia"/>
          <w:color w:val="000000" w:themeColor="text1"/>
          <w:sz w:val="20"/>
          <w:szCs w:val="20"/>
        </w:rPr>
        <w:t>From</w:t>
      </w:r>
      <w:proofErr w:type="gramEnd"/>
      <w:r w:rsidRPr="00E707F0">
        <w:rPr>
          <w:rFonts w:ascii="Georgia" w:hAnsi="Georgia"/>
          <w:color w:val="000000" w:themeColor="text1"/>
          <w:sz w:val="20"/>
          <w:szCs w:val="20"/>
        </w:rPr>
        <w:t xml:space="preserve"> India. In R. Hasan (Ed.), </w:t>
      </w:r>
      <w:r w:rsidRPr="00E707F0">
        <w:rPr>
          <w:rFonts w:ascii="Georgia" w:hAnsi="Georgia"/>
          <w:i/>
          <w:iCs/>
          <w:color w:val="000000" w:themeColor="text1"/>
          <w:sz w:val="20"/>
          <w:szCs w:val="20"/>
        </w:rPr>
        <w:t>Advances in Logistics, Operations, and Management Science</w:t>
      </w:r>
      <w:r w:rsidRPr="00E707F0">
        <w:rPr>
          <w:rFonts w:ascii="Georgia" w:hAnsi="Georgia"/>
          <w:color w:val="000000" w:themeColor="text1"/>
          <w:sz w:val="20"/>
          <w:szCs w:val="20"/>
        </w:rPr>
        <w:t xml:space="preserve"> (pp. 24–54). IGI Global. https://doi.org/10.4018/978-1-6684-9867-5.ch002</w:t>
      </w:r>
    </w:p>
    <w:p w14:paraId="54375180"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Menicacci, L., &amp; Simoni, L. (2024). Negative media coverage of ESG issues and corporate tax avoidance. </w:t>
      </w:r>
      <w:r w:rsidRPr="00E707F0">
        <w:rPr>
          <w:rFonts w:ascii="Georgia" w:hAnsi="Georgia"/>
          <w:i/>
          <w:iCs/>
          <w:color w:val="000000" w:themeColor="text1"/>
          <w:sz w:val="20"/>
          <w:szCs w:val="20"/>
        </w:rPr>
        <w:t>Sustainability Accounting, Management and Policy Journal</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15</w:t>
      </w:r>
      <w:r w:rsidRPr="00E707F0">
        <w:rPr>
          <w:rFonts w:ascii="Georgia" w:hAnsi="Georgia"/>
          <w:color w:val="000000" w:themeColor="text1"/>
          <w:sz w:val="20"/>
          <w:szCs w:val="20"/>
        </w:rPr>
        <w:t>(7), 1–33. https://doi.org/10.1108/SAMPJ-01-2023-0024</w:t>
      </w:r>
    </w:p>
    <w:p w14:paraId="693E8E10"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Ortíz Almeyda, H. M. (2023). </w:t>
      </w:r>
      <w:r w:rsidRPr="00E707F0">
        <w:rPr>
          <w:rFonts w:ascii="Georgia" w:hAnsi="Georgia"/>
          <w:i/>
          <w:iCs/>
          <w:color w:val="000000" w:themeColor="text1"/>
          <w:sz w:val="20"/>
          <w:szCs w:val="20"/>
        </w:rPr>
        <w:t>ESG, growth options and risk: A value creation approach</w:t>
      </w:r>
      <w:r w:rsidRPr="00E707F0">
        <w:rPr>
          <w:rFonts w:ascii="Georgia" w:hAnsi="Georgia"/>
          <w:color w:val="000000" w:themeColor="text1"/>
          <w:sz w:val="20"/>
          <w:szCs w:val="20"/>
        </w:rPr>
        <w:t xml:space="preserve"> [Universidad de Valladolid]. https://doi.org/10.35376/10324/61858</w:t>
      </w:r>
    </w:p>
    <w:p w14:paraId="1FDCF19A"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Sciarelli, M., Cosimato, S., Landi, G., &amp; Iandolo, F. (2021). Socially responsible investment strategies for the transition towards sustainable development: The importance of integrating and communicating ESG. </w:t>
      </w:r>
      <w:r w:rsidRPr="00E707F0">
        <w:rPr>
          <w:rFonts w:ascii="Georgia" w:hAnsi="Georgia"/>
          <w:i/>
          <w:iCs/>
          <w:color w:val="000000" w:themeColor="text1"/>
          <w:sz w:val="20"/>
          <w:szCs w:val="20"/>
        </w:rPr>
        <w:t>The TQM Journal</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33</w:t>
      </w:r>
      <w:r w:rsidRPr="00E707F0">
        <w:rPr>
          <w:rFonts w:ascii="Georgia" w:hAnsi="Georgia"/>
          <w:color w:val="000000" w:themeColor="text1"/>
          <w:sz w:val="20"/>
          <w:szCs w:val="20"/>
        </w:rPr>
        <w:t>(7), 39–56. https://doi.org/10.1108/TQM-08-2020-0180</w:t>
      </w:r>
    </w:p>
    <w:p w14:paraId="7A2D6919"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Sharma, S. (2023). Does ESG risk management ensure better risk management? Evidence from India. </w:t>
      </w:r>
      <w:r w:rsidRPr="00E707F0">
        <w:rPr>
          <w:rFonts w:ascii="Georgia" w:hAnsi="Georgia"/>
          <w:i/>
          <w:iCs/>
          <w:color w:val="000000" w:themeColor="text1"/>
          <w:sz w:val="20"/>
          <w:szCs w:val="20"/>
        </w:rPr>
        <w:t>Procedia Computer Science</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221</w:t>
      </w:r>
      <w:r w:rsidRPr="00E707F0">
        <w:rPr>
          <w:rFonts w:ascii="Georgia" w:hAnsi="Georgia"/>
          <w:color w:val="000000" w:themeColor="text1"/>
          <w:sz w:val="20"/>
          <w:szCs w:val="20"/>
        </w:rPr>
        <w:t>, 912–919. https://doi.org/10.1016/j.procs.2023.08.068</w:t>
      </w:r>
    </w:p>
    <w:p w14:paraId="3B25E137"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Shen, H., Lin, H., Han, W., &amp; Wu, H. (2023). ESG in China: A review of practice and research, and future research avenues. </w:t>
      </w:r>
      <w:r w:rsidRPr="00E707F0">
        <w:rPr>
          <w:rFonts w:ascii="Georgia" w:hAnsi="Georgia"/>
          <w:i/>
          <w:iCs/>
          <w:color w:val="000000" w:themeColor="text1"/>
          <w:sz w:val="20"/>
          <w:szCs w:val="20"/>
        </w:rPr>
        <w:t>China Journal of Accounting Research</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16</w:t>
      </w:r>
      <w:r w:rsidRPr="00E707F0">
        <w:rPr>
          <w:rFonts w:ascii="Georgia" w:hAnsi="Georgia"/>
          <w:color w:val="000000" w:themeColor="text1"/>
          <w:sz w:val="20"/>
          <w:szCs w:val="20"/>
        </w:rPr>
        <w:t>(4), 100325. https://doi.org/10.1016/j.cjar.2023.100325</w:t>
      </w:r>
    </w:p>
    <w:p w14:paraId="373DBBA5"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Signori, S., San-Jose, L., Retolaza, J. L., &amp; Rusconi, G. (2021). Stakeholder Value Creation: Comparing ESG and Value Added in European Companies. </w:t>
      </w:r>
      <w:r w:rsidRPr="00E707F0">
        <w:rPr>
          <w:rFonts w:ascii="Georgia" w:hAnsi="Georgia"/>
          <w:i/>
          <w:iCs/>
          <w:color w:val="000000" w:themeColor="text1"/>
          <w:sz w:val="20"/>
          <w:szCs w:val="20"/>
        </w:rPr>
        <w:t>Sustainability</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13</w:t>
      </w:r>
      <w:r w:rsidRPr="00E707F0">
        <w:rPr>
          <w:rFonts w:ascii="Georgia" w:hAnsi="Georgia"/>
          <w:color w:val="000000" w:themeColor="text1"/>
          <w:sz w:val="20"/>
          <w:szCs w:val="20"/>
        </w:rPr>
        <w:t>(3), 1392. https://doi.org/10.3390/su13031392</w:t>
      </w:r>
    </w:p>
    <w:p w14:paraId="5654796A"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Tang, H. (2022). The Effect of ESG Performance on Corporate Innovation in China: The Mediating Role of Financial Constraints and Agency Cost. </w:t>
      </w:r>
      <w:r w:rsidRPr="00E707F0">
        <w:rPr>
          <w:rFonts w:ascii="Georgia" w:hAnsi="Georgia"/>
          <w:i/>
          <w:iCs/>
          <w:color w:val="000000" w:themeColor="text1"/>
          <w:sz w:val="20"/>
          <w:szCs w:val="20"/>
        </w:rPr>
        <w:t>Sustainability</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14</w:t>
      </w:r>
      <w:r w:rsidRPr="00E707F0">
        <w:rPr>
          <w:rFonts w:ascii="Georgia" w:hAnsi="Georgia"/>
          <w:color w:val="000000" w:themeColor="text1"/>
          <w:sz w:val="20"/>
          <w:szCs w:val="20"/>
        </w:rPr>
        <w:t>(7), 3769. https://doi.org/10.3390/su14073769</w:t>
      </w:r>
    </w:p>
    <w:p w14:paraId="01C2B47F"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Xie, J., Nozawa, W., Yagi, M., Fujii, H., &amp; Managi, S. (2019). Do environmental, social, and governance activities improve corporate financial performance? </w:t>
      </w:r>
      <w:r w:rsidRPr="00E707F0">
        <w:rPr>
          <w:rFonts w:ascii="Georgia" w:hAnsi="Georgia"/>
          <w:i/>
          <w:iCs/>
          <w:color w:val="000000" w:themeColor="text1"/>
          <w:sz w:val="20"/>
          <w:szCs w:val="20"/>
        </w:rPr>
        <w:t>Business Strategy and the Environment</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28</w:t>
      </w:r>
      <w:r w:rsidRPr="00E707F0">
        <w:rPr>
          <w:rFonts w:ascii="Georgia" w:hAnsi="Georgia"/>
          <w:color w:val="000000" w:themeColor="text1"/>
          <w:sz w:val="20"/>
          <w:szCs w:val="20"/>
        </w:rPr>
        <w:t>(2), 286–300. https://doi.org/10.1002/bse.2224</w:t>
      </w:r>
    </w:p>
    <w:p w14:paraId="25932F93"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Yu, P., Zuo, Z., &amp; Lian, D. (2024). Fostering High-Quality Corporate Development through ESG-Driven Technological Innovation: A Moderated Mediation Analysis. </w:t>
      </w:r>
      <w:r w:rsidRPr="00E707F0">
        <w:rPr>
          <w:rFonts w:ascii="Georgia" w:hAnsi="Georgia"/>
          <w:i/>
          <w:iCs/>
          <w:color w:val="000000" w:themeColor="text1"/>
          <w:sz w:val="20"/>
          <w:szCs w:val="20"/>
        </w:rPr>
        <w:t>Journal of the Knowledge Economy</w:t>
      </w:r>
      <w:r w:rsidRPr="00E707F0">
        <w:rPr>
          <w:rFonts w:ascii="Georgia" w:hAnsi="Georgia"/>
          <w:color w:val="000000" w:themeColor="text1"/>
          <w:sz w:val="20"/>
          <w:szCs w:val="20"/>
        </w:rPr>
        <w:t>. https://doi.org/10.1007/s13132-024-01793-4</w:t>
      </w:r>
    </w:p>
    <w:p w14:paraId="1A94E02A" w14:textId="77777777" w:rsidR="008E37A3" w:rsidRPr="00E707F0" w:rsidRDefault="008E37A3" w:rsidP="003D7AE4">
      <w:pPr>
        <w:pStyle w:val="Bibliography"/>
        <w:numPr>
          <w:ilvl w:val="0"/>
          <w:numId w:val="3"/>
        </w:numPr>
        <w:spacing w:line="240" w:lineRule="auto"/>
        <w:ind w:left="426" w:hanging="426"/>
        <w:rPr>
          <w:rFonts w:ascii="Georgia" w:hAnsi="Georgia"/>
          <w:color w:val="000000" w:themeColor="text1"/>
          <w:sz w:val="20"/>
          <w:szCs w:val="20"/>
        </w:rPr>
      </w:pPr>
      <w:r w:rsidRPr="00E707F0">
        <w:rPr>
          <w:rFonts w:ascii="Georgia" w:hAnsi="Georgia"/>
          <w:color w:val="000000" w:themeColor="text1"/>
          <w:sz w:val="20"/>
          <w:szCs w:val="20"/>
        </w:rPr>
        <w:t xml:space="preserve">Zhang, H., Lai, J., &amp; Jie, S. (2024). Quantity and quality: The impact of environmental, social, and governance (ESG) performance on corporate green innovation. </w:t>
      </w:r>
      <w:r w:rsidRPr="00E707F0">
        <w:rPr>
          <w:rFonts w:ascii="Georgia" w:hAnsi="Georgia"/>
          <w:i/>
          <w:iCs/>
          <w:color w:val="000000" w:themeColor="text1"/>
          <w:sz w:val="20"/>
          <w:szCs w:val="20"/>
        </w:rPr>
        <w:t>Journal of Environmental Management</w:t>
      </w:r>
      <w:r w:rsidRPr="00E707F0">
        <w:rPr>
          <w:rFonts w:ascii="Georgia" w:hAnsi="Georgia"/>
          <w:color w:val="000000" w:themeColor="text1"/>
          <w:sz w:val="20"/>
          <w:szCs w:val="20"/>
        </w:rPr>
        <w:t xml:space="preserve">, </w:t>
      </w:r>
      <w:r w:rsidRPr="00E707F0">
        <w:rPr>
          <w:rFonts w:ascii="Georgia" w:hAnsi="Georgia"/>
          <w:i/>
          <w:iCs/>
          <w:color w:val="000000" w:themeColor="text1"/>
          <w:sz w:val="20"/>
          <w:szCs w:val="20"/>
        </w:rPr>
        <w:t>354</w:t>
      </w:r>
      <w:r w:rsidRPr="00E707F0">
        <w:rPr>
          <w:rFonts w:ascii="Georgia" w:hAnsi="Georgia"/>
          <w:color w:val="000000" w:themeColor="text1"/>
          <w:sz w:val="20"/>
          <w:szCs w:val="20"/>
        </w:rPr>
        <w:t>, 120272. https://doi.org/10.1016/j.jenvman.2024.120272</w:t>
      </w:r>
    </w:p>
    <w:p w14:paraId="3B8D76E7" w14:textId="6910A8AD" w:rsidR="008C12D2" w:rsidRPr="00C82C2C" w:rsidRDefault="008E37A3" w:rsidP="00E707F0">
      <w:pPr>
        <w:pStyle w:val="Bibliography"/>
        <w:numPr>
          <w:ilvl w:val="0"/>
          <w:numId w:val="3"/>
        </w:numPr>
        <w:spacing w:line="240" w:lineRule="auto"/>
        <w:ind w:left="426" w:hanging="426"/>
        <w:rPr>
          <w:rFonts w:ascii="Georgia" w:hAnsi="Georgia"/>
          <w:color w:val="000000" w:themeColor="text1"/>
          <w:sz w:val="20"/>
          <w:szCs w:val="20"/>
        </w:rPr>
      </w:pPr>
      <w:r w:rsidRPr="00C82C2C">
        <w:rPr>
          <w:rFonts w:ascii="Georgia" w:hAnsi="Georgia"/>
          <w:color w:val="000000" w:themeColor="text1"/>
          <w:sz w:val="20"/>
          <w:szCs w:val="20"/>
        </w:rPr>
        <w:t xml:space="preserve">Zumente, I., &amp; Bistrova, J. (2021). ESG Importance for Long-Term Shareholder Value Creation: Literature vs. Practice. </w:t>
      </w:r>
      <w:r w:rsidRPr="00C82C2C">
        <w:rPr>
          <w:rFonts w:ascii="Georgia" w:hAnsi="Georgia"/>
          <w:i/>
          <w:iCs/>
          <w:color w:val="000000" w:themeColor="text1"/>
          <w:sz w:val="20"/>
          <w:szCs w:val="20"/>
        </w:rPr>
        <w:t>Journal of Open Innovation: Technology, Market, and Complexity</w:t>
      </w:r>
      <w:r w:rsidRPr="00C82C2C">
        <w:rPr>
          <w:rFonts w:ascii="Georgia" w:hAnsi="Georgia"/>
          <w:color w:val="000000" w:themeColor="text1"/>
          <w:sz w:val="20"/>
          <w:szCs w:val="20"/>
        </w:rPr>
        <w:t xml:space="preserve">, </w:t>
      </w:r>
      <w:r w:rsidRPr="00C82C2C">
        <w:rPr>
          <w:rFonts w:ascii="Georgia" w:hAnsi="Georgia"/>
          <w:i/>
          <w:iCs/>
          <w:color w:val="000000" w:themeColor="text1"/>
          <w:sz w:val="20"/>
          <w:szCs w:val="20"/>
        </w:rPr>
        <w:t>7</w:t>
      </w:r>
      <w:r w:rsidRPr="00C82C2C">
        <w:rPr>
          <w:rFonts w:ascii="Georgia" w:hAnsi="Georgia"/>
          <w:color w:val="000000" w:themeColor="text1"/>
          <w:sz w:val="20"/>
          <w:szCs w:val="20"/>
        </w:rPr>
        <w:t>(2), 127. https://doi.org/10.3390/joitmc7020127</w:t>
      </w:r>
      <w:r w:rsidRPr="00C82C2C">
        <w:rPr>
          <w:rFonts w:ascii="Georgia" w:hAnsi="Georgia"/>
          <w:color w:val="000000" w:themeColor="text1"/>
          <w:sz w:val="20"/>
          <w:szCs w:val="20"/>
        </w:rPr>
        <w:fldChar w:fldCharType="end"/>
      </w:r>
    </w:p>
    <w:sectPr w:rsidR="008C12D2" w:rsidRPr="00C82C2C" w:rsidSect="00C82C2C">
      <w:headerReference w:type="even" r:id="rId11"/>
      <w:headerReference w:type="default" r:id="rId12"/>
      <w:footerReference w:type="first" r:id="rId13"/>
      <w:pgSz w:w="11906" w:h="16838" w:code="9"/>
      <w:pgMar w:top="1021" w:right="1066" w:bottom="964" w:left="1168" w:header="851" w:footer="777" w:gutter="0"/>
      <w:pgNumType w:start="393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65CC9" w14:textId="77777777" w:rsidR="00947F1A" w:rsidRDefault="00947F1A" w:rsidP="00857E90">
      <w:pPr>
        <w:spacing w:after="0" w:line="240" w:lineRule="auto"/>
      </w:pPr>
      <w:r>
        <w:separator/>
      </w:r>
    </w:p>
  </w:endnote>
  <w:endnote w:type="continuationSeparator" w:id="0">
    <w:p w14:paraId="11DA301B" w14:textId="77777777" w:rsidR="00947F1A" w:rsidRDefault="00947F1A" w:rsidP="0085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TimesNewRomanPS-BoldMT">
    <w:altName w:val="Times New Roman"/>
    <w:charset w:val="00"/>
    <w:family w:val="roman"/>
    <w:pitch w:val="variable"/>
    <w:sig w:usb0="E0002AEF" w:usb1="C0007841" w:usb2="00000009" w:usb3="00000000" w:csb0="000001FF" w:csb1="00000000"/>
  </w:font>
  <w:font w:name="Georgia-Italic">
    <w:altName w:val="Georg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8BC21" w14:textId="77777777" w:rsidR="00CA1965" w:rsidRPr="0076503B" w:rsidRDefault="00CA1965" w:rsidP="00CA1965">
    <w:pPr>
      <w:pBdr>
        <w:top w:val="double" w:sz="4" w:space="1" w:color="948A54" w:themeColor="background2" w:themeShade="80"/>
      </w:pBdr>
      <w:spacing w:after="0" w:line="240" w:lineRule="auto"/>
      <w:ind w:right="33"/>
      <w:rPr>
        <w:b/>
        <w:sz w:val="20"/>
        <w:szCs w:val="20"/>
      </w:rPr>
    </w:pPr>
    <w:bookmarkStart w:id="1" w:name="_Hlk162705328"/>
    <w:bookmarkStart w:id="2" w:name="_Hlk162705329"/>
    <w:bookmarkStart w:id="3" w:name="_Hlk162711755"/>
    <w:bookmarkStart w:id="4" w:name="_Hlk162711756"/>
    <w:bookmarkStart w:id="5" w:name="_Hlk163566816"/>
    <w:bookmarkStart w:id="6" w:name="_Hlk163566817"/>
    <w:r w:rsidRPr="0076503B">
      <w:rPr>
        <w:rFonts w:ascii="Palatino Linotype" w:eastAsia="Palatino Linotype" w:hAnsi="Palatino Linotype" w:cs="Palatino Linotype"/>
        <w:b/>
        <w:i/>
        <w:sz w:val="14"/>
        <w:szCs w:val="22"/>
      </w:rPr>
      <w:t xml:space="preserve">Copyright © 2024 by Author/s and Licensed by </w:t>
    </w:r>
    <w:proofErr w:type="spellStart"/>
    <w:r w:rsidRPr="0076503B">
      <w:rPr>
        <w:rFonts w:ascii="Palatino Linotype" w:eastAsia="Palatino Linotype" w:hAnsi="Palatino Linotype" w:cs="Palatino Linotype"/>
        <w:b/>
        <w:i/>
        <w:sz w:val="14"/>
        <w:szCs w:val="22"/>
      </w:rPr>
      <w:t>Kuey</w:t>
    </w:r>
    <w:proofErr w:type="spellEnd"/>
    <w:r w:rsidRPr="0076503B">
      <w:rPr>
        <w:rFonts w:ascii="Palatino Linotype" w:eastAsia="Palatino Linotype" w:hAnsi="Palatino Linotype" w:cs="Palatino Linotype"/>
        <w:b/>
        <w:i/>
        <w:sz w:val="14"/>
        <w:szCs w:val="22"/>
      </w:rPr>
      <w:t>. This is an open access article distributed under the Creative Commons Attribution License which permits unrestricted use, distribution, and reproduction in any medium, provided the original work is properly cited.</w:t>
    </w:r>
    <w:bookmarkEnd w:id="1"/>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638E0" w14:textId="77777777" w:rsidR="00947F1A" w:rsidRDefault="00947F1A" w:rsidP="00857E90">
      <w:pPr>
        <w:spacing w:after="0" w:line="240" w:lineRule="auto"/>
      </w:pPr>
      <w:r>
        <w:separator/>
      </w:r>
    </w:p>
  </w:footnote>
  <w:footnote w:type="continuationSeparator" w:id="0">
    <w:p w14:paraId="218C2B0D" w14:textId="77777777" w:rsidR="00947F1A" w:rsidRDefault="00947F1A" w:rsidP="00857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sz w:val="18"/>
        <w:szCs w:val="18"/>
        <w:rtl/>
      </w:rPr>
      <w:id w:val="-300152657"/>
      <w:docPartObj>
        <w:docPartGallery w:val="Page Numbers (Top of Page)"/>
        <w:docPartUnique/>
      </w:docPartObj>
    </w:sdtPr>
    <w:sdtEndPr/>
    <w:sdtContent>
      <w:sdt>
        <w:sdtPr>
          <w:rPr>
            <w:rFonts w:ascii="Georgia" w:hAnsi="Georgia"/>
            <w:sz w:val="18"/>
            <w:szCs w:val="18"/>
            <w:rtl/>
          </w:rPr>
          <w:id w:val="1946654352"/>
          <w:docPartObj>
            <w:docPartGallery w:val="Page Numbers (Top of Page)"/>
            <w:docPartUnique/>
          </w:docPartObj>
        </w:sdtPr>
        <w:sdtContent>
          <w:p w14:paraId="53A0BFAE" w14:textId="39FA6C80" w:rsidR="00CA1965" w:rsidRPr="008B3327" w:rsidRDefault="00CA1965" w:rsidP="00C82C2C">
            <w:pPr>
              <w:pStyle w:val="Header"/>
              <w:pBdr>
                <w:bottom w:val="single" w:sz="4" w:space="1" w:color="auto"/>
              </w:pBdr>
              <w:tabs>
                <w:tab w:val="center" w:pos="4852"/>
              </w:tabs>
              <w:bidi/>
              <w:rPr>
                <w:rFonts w:ascii="Georgia" w:hAnsi="Georgia"/>
                <w:sz w:val="18"/>
                <w:szCs w:val="18"/>
                <w:lang w:val="sv-SE"/>
              </w:rPr>
            </w:pPr>
            <w:r w:rsidRPr="008B3327">
              <w:rPr>
                <w:rFonts w:ascii="Georgia" w:hAnsi="Georgia"/>
                <w:sz w:val="18"/>
                <w:szCs w:val="18"/>
              </w:rPr>
              <w:fldChar w:fldCharType="begin"/>
            </w:r>
            <w:r w:rsidRPr="008B3327">
              <w:rPr>
                <w:rFonts w:ascii="Georgia" w:hAnsi="Georgia"/>
                <w:sz w:val="18"/>
                <w:szCs w:val="18"/>
                <w:lang w:val="sv-SE"/>
              </w:rPr>
              <w:instrText xml:space="preserve"> PAGE   \* MERGEFORMAT </w:instrText>
            </w:r>
            <w:r w:rsidRPr="008B3327">
              <w:rPr>
                <w:rFonts w:ascii="Georgia" w:hAnsi="Georgia"/>
                <w:sz w:val="18"/>
                <w:szCs w:val="18"/>
              </w:rPr>
              <w:fldChar w:fldCharType="separate"/>
            </w:r>
            <w:r>
              <w:rPr>
                <w:rFonts w:ascii="Georgia" w:hAnsi="Georgia"/>
                <w:sz w:val="18"/>
                <w:szCs w:val="18"/>
              </w:rPr>
              <w:t>3931</w:t>
            </w:r>
            <w:r w:rsidRPr="008B3327">
              <w:rPr>
                <w:rFonts w:ascii="Georgia" w:hAnsi="Georgia"/>
                <w:noProof/>
                <w:sz w:val="18"/>
                <w:szCs w:val="18"/>
              </w:rPr>
              <w:fldChar w:fldCharType="end"/>
            </w:r>
            <w:r w:rsidRPr="008B3327">
              <w:rPr>
                <w:rFonts w:ascii="Georgia" w:hAnsi="Georgia"/>
                <w:sz w:val="18"/>
                <w:szCs w:val="18"/>
                <w:lang w:val="sv-SE"/>
              </w:rPr>
              <w:t xml:space="preserve"> </w:t>
            </w:r>
            <w:r w:rsidRPr="008B3327">
              <w:rPr>
                <w:rFonts w:ascii="Georgia" w:hAnsi="Georgia"/>
                <w:sz w:val="18"/>
                <w:szCs w:val="18"/>
                <w:lang w:val="sv-SE"/>
              </w:rPr>
              <w:tab/>
            </w:r>
            <w:proofErr w:type="spellStart"/>
            <w:r w:rsidR="00BB5525" w:rsidRPr="00BB5525">
              <w:rPr>
                <w:rFonts w:ascii="Georgia" w:hAnsi="Georgia"/>
                <w:color w:val="000000" w:themeColor="text1"/>
                <w:sz w:val="18"/>
                <w:szCs w:val="18"/>
              </w:rPr>
              <w:t>Swathi.G</w:t>
            </w:r>
            <w:proofErr w:type="spellEnd"/>
            <w:r w:rsidR="00BB5525" w:rsidRPr="00BB5525">
              <w:rPr>
                <w:rFonts w:ascii="Georgia" w:hAnsi="Georgia"/>
                <w:color w:val="000000" w:themeColor="text1"/>
                <w:sz w:val="18"/>
                <w:szCs w:val="18"/>
              </w:rPr>
              <w:t>, Dr. Anurag Pahuja</w:t>
            </w:r>
            <w:r w:rsidRPr="008B3327">
              <w:rPr>
                <w:rFonts w:ascii="Georgia" w:eastAsia="Palatino Linotype" w:hAnsi="Georgia" w:cs="Palatino Linotype"/>
                <w:sz w:val="18"/>
                <w:szCs w:val="18"/>
              </w:rPr>
              <w:t xml:space="preserve"> / </w:t>
            </w:r>
            <w:proofErr w:type="spellStart"/>
            <w:r w:rsidRPr="008B3327">
              <w:rPr>
                <w:rFonts w:ascii="Georgia" w:eastAsia="Palatino Linotype" w:hAnsi="Georgia" w:cs="Palatino Linotype"/>
                <w:sz w:val="18"/>
                <w:szCs w:val="18"/>
              </w:rPr>
              <w:t>Kuey</w:t>
            </w:r>
            <w:proofErr w:type="spellEnd"/>
            <w:r w:rsidRPr="008B3327">
              <w:rPr>
                <w:rFonts w:ascii="Georgia" w:eastAsia="Palatino Linotype" w:hAnsi="Georgia" w:cs="Palatino Linotype"/>
                <w:sz w:val="18"/>
                <w:szCs w:val="18"/>
              </w:rPr>
              <w:t xml:space="preserve">, 30(5), </w:t>
            </w:r>
            <w:r w:rsidRPr="008B3327">
              <w:rPr>
                <w:rStyle w:val="fontstyle21"/>
                <w:rFonts w:ascii="Georgia" w:hAnsi="Georgia"/>
                <w:sz w:val="18"/>
                <w:szCs w:val="18"/>
              </w:rPr>
              <w:t>354</w:t>
            </w:r>
            <w:r w:rsidR="00BB5525">
              <w:rPr>
                <w:rStyle w:val="fontstyle21"/>
                <w:rFonts w:ascii="Georgia" w:hAnsi="Georgia"/>
                <w:sz w:val="18"/>
                <w:szCs w:val="18"/>
              </w:rPr>
              <w:t>9</w:t>
            </w:r>
          </w:p>
        </w:sdtContent>
      </w:sdt>
      <w:p w14:paraId="58E66781" w14:textId="77777777" w:rsidR="00CA1965" w:rsidRDefault="00CA1965" w:rsidP="00CA1965">
        <w:pPr>
          <w:pStyle w:val="Header"/>
          <w:tabs>
            <w:tab w:val="center" w:pos="5103"/>
          </w:tabs>
          <w:bidi/>
          <w:rPr>
            <w:rFonts w:ascii="Georgia" w:hAnsi="Georgia"/>
            <w:sz w:val="18"/>
            <w:szCs w:val="18"/>
            <w:shd w:val="clear" w:color="auto" w:fill="FFFFFF"/>
            <w:lang w:val="en-GB"/>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sz w:val="18"/>
        <w:szCs w:val="18"/>
      </w:rPr>
      <w:id w:val="-1282866175"/>
      <w:docPartObj>
        <w:docPartGallery w:val="Page Numbers (Top of Page)"/>
        <w:docPartUnique/>
      </w:docPartObj>
    </w:sdtPr>
    <w:sdtContent>
      <w:p w14:paraId="4DC7A770" w14:textId="00CE9FC9" w:rsidR="00CA1965" w:rsidRPr="00BB5525" w:rsidRDefault="00CA1965" w:rsidP="00BB5525">
        <w:pPr>
          <w:pBdr>
            <w:bottom w:val="single" w:sz="4" w:space="1" w:color="auto"/>
          </w:pBdr>
          <w:spacing w:after="0" w:line="240" w:lineRule="auto"/>
          <w:ind w:right="476"/>
          <w:rPr>
            <w:rFonts w:ascii="Georgia" w:hAnsi="Georgia"/>
            <w:sz w:val="18"/>
            <w:szCs w:val="18"/>
          </w:rPr>
        </w:pPr>
        <w:r w:rsidRPr="00BB5525">
          <w:rPr>
            <w:rFonts w:ascii="Georgia" w:hAnsi="Georgia"/>
            <w:sz w:val="18"/>
            <w:szCs w:val="18"/>
            <w:rtl/>
          </w:rPr>
          <w:fldChar w:fldCharType="begin"/>
        </w:r>
        <w:r w:rsidRPr="00BB5525">
          <w:rPr>
            <w:rFonts w:ascii="Georgia" w:hAnsi="Georgia"/>
            <w:sz w:val="18"/>
            <w:szCs w:val="18"/>
          </w:rPr>
          <w:instrText xml:space="preserve"> PAGE   \* MERGEFORMAT </w:instrText>
        </w:r>
        <w:r w:rsidRPr="00BB5525">
          <w:rPr>
            <w:rFonts w:ascii="Georgia" w:hAnsi="Georgia"/>
            <w:sz w:val="18"/>
            <w:szCs w:val="18"/>
            <w:rtl/>
          </w:rPr>
          <w:fldChar w:fldCharType="separate"/>
        </w:r>
        <w:r w:rsidRPr="00BB5525">
          <w:rPr>
            <w:rFonts w:ascii="Georgia" w:hAnsi="Georgia"/>
            <w:sz w:val="18"/>
            <w:szCs w:val="18"/>
            <w:rtl/>
          </w:rPr>
          <w:t>393</w:t>
        </w:r>
        <w:r w:rsidRPr="00BB5525">
          <w:rPr>
            <w:rFonts w:ascii="Georgia" w:hAnsi="Georgia"/>
            <w:sz w:val="18"/>
            <w:szCs w:val="18"/>
            <w:rtl/>
          </w:rPr>
          <w:t>2</w:t>
        </w:r>
        <w:r w:rsidRPr="00BB5525">
          <w:rPr>
            <w:rFonts w:ascii="Georgia" w:hAnsi="Georgia"/>
            <w:noProof/>
            <w:sz w:val="18"/>
            <w:szCs w:val="18"/>
            <w:rtl/>
          </w:rPr>
          <w:fldChar w:fldCharType="end"/>
        </w:r>
        <w:r w:rsidRPr="00BB5525">
          <w:rPr>
            <w:rFonts w:ascii="Georgia" w:hAnsi="Georgia"/>
            <w:sz w:val="18"/>
            <w:szCs w:val="18"/>
          </w:rPr>
          <w:t xml:space="preserve"> </w:t>
        </w:r>
        <w:r w:rsidRPr="00BB5525">
          <w:rPr>
            <w:rFonts w:ascii="Georgia" w:hAnsi="Georgia"/>
            <w:sz w:val="18"/>
            <w:szCs w:val="18"/>
          </w:rPr>
          <w:tab/>
        </w:r>
        <w:r w:rsidR="00BB5525">
          <w:rPr>
            <w:rFonts w:ascii="Georgia" w:hAnsi="Georgia"/>
            <w:sz w:val="18"/>
            <w:szCs w:val="18"/>
          </w:rPr>
          <w:t xml:space="preserve">                            </w:t>
        </w:r>
        <w:proofErr w:type="spellStart"/>
        <w:r w:rsidR="00BB5525" w:rsidRPr="00BB5525">
          <w:rPr>
            <w:rFonts w:ascii="Georgia" w:hAnsi="Georgia"/>
            <w:color w:val="000000" w:themeColor="text1"/>
            <w:sz w:val="18"/>
            <w:szCs w:val="18"/>
          </w:rPr>
          <w:t>Swathi.G</w:t>
        </w:r>
        <w:proofErr w:type="spellEnd"/>
        <w:r w:rsidR="00BB5525" w:rsidRPr="00BB5525">
          <w:rPr>
            <w:rFonts w:ascii="Georgia" w:hAnsi="Georgia"/>
            <w:color w:val="000000" w:themeColor="text1"/>
            <w:sz w:val="18"/>
            <w:szCs w:val="18"/>
          </w:rPr>
          <w:t>, Dr. Anurag Pahuja</w:t>
        </w:r>
        <w:r w:rsidRPr="00BB5525">
          <w:rPr>
            <w:rFonts w:ascii="Georgia" w:eastAsia="Palatino Linotype" w:hAnsi="Georgia" w:cs="Palatino Linotype"/>
            <w:sz w:val="18"/>
            <w:szCs w:val="18"/>
          </w:rPr>
          <w:t xml:space="preserve">/ Kuey, 30(5), </w:t>
        </w:r>
        <w:r w:rsidRPr="00BB5525">
          <w:rPr>
            <w:rStyle w:val="fontstyle21"/>
            <w:rFonts w:ascii="Georgia" w:hAnsi="Georgia"/>
            <w:sz w:val="18"/>
            <w:szCs w:val="18"/>
          </w:rPr>
          <w:t>354</w:t>
        </w:r>
        <w:r w:rsidR="00BB5525" w:rsidRPr="00BB5525">
          <w:rPr>
            <w:rStyle w:val="fontstyle21"/>
            <w:rFonts w:ascii="Georgia" w:hAnsi="Georgia"/>
            <w:sz w:val="18"/>
            <w:szCs w:val="18"/>
          </w:rPr>
          <w:t>9</w:t>
        </w:r>
      </w:p>
    </w:sdtContent>
  </w:sdt>
  <w:p w14:paraId="7F6F4595" w14:textId="77777777" w:rsidR="00CA1965" w:rsidRDefault="00CA1965" w:rsidP="00CA1965">
    <w:pPr>
      <w:pStyle w:val="Header"/>
      <w:tabs>
        <w:tab w:val="center" w:pos="5103"/>
      </w:tabs>
      <w:rPr>
        <w:rFonts w:ascii="Georgia" w:hAnsi="Georgia"/>
        <w:sz w:val="18"/>
        <w:szCs w:val="18"/>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F104B"/>
    <w:multiLevelType w:val="hybridMultilevel"/>
    <w:tmpl w:val="6F64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4E5215"/>
    <w:multiLevelType w:val="hybridMultilevel"/>
    <w:tmpl w:val="CB809862"/>
    <w:lvl w:ilvl="0" w:tplc="95B848B0">
      <w:start w:val="1"/>
      <w:numFmt w:val="decimal"/>
      <w:lvlText w:val="%1."/>
      <w:lvlJc w:val="left"/>
      <w:pPr>
        <w:ind w:left="720" w:hanging="360"/>
      </w:pPr>
      <w:rPr>
        <w:b/>
        <w:bCs/>
        <w:color w:val="2C33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53837"/>
    <w:multiLevelType w:val="hybridMultilevel"/>
    <w:tmpl w:val="EC460126"/>
    <w:lvl w:ilvl="0" w:tplc="7DF0C684">
      <w:start w:val="1"/>
      <w:numFmt w:val="decimal"/>
      <w:lvlText w:val="%1."/>
      <w:lvlJc w:val="left"/>
      <w:pPr>
        <w:ind w:left="6740" w:hanging="360"/>
      </w:pPr>
      <w:rPr>
        <w:rFonts w:hint="default"/>
        <w:b/>
        <w:bCs/>
        <w:color w:val="2C33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544461">
    <w:abstractNumId w:val="2"/>
  </w:num>
  <w:num w:numId="2" w16cid:durableId="1174690456">
    <w:abstractNumId w:val="1"/>
  </w:num>
  <w:num w:numId="3" w16cid:durableId="187499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37A3"/>
    <w:rsid w:val="00006B6B"/>
    <w:rsid w:val="00121137"/>
    <w:rsid w:val="0035302D"/>
    <w:rsid w:val="003D7AE4"/>
    <w:rsid w:val="00460ABD"/>
    <w:rsid w:val="0052222D"/>
    <w:rsid w:val="005F10F6"/>
    <w:rsid w:val="006B0FDD"/>
    <w:rsid w:val="0076503B"/>
    <w:rsid w:val="007F027E"/>
    <w:rsid w:val="00857E90"/>
    <w:rsid w:val="008B7A3F"/>
    <w:rsid w:val="008C12D2"/>
    <w:rsid w:val="008E37A3"/>
    <w:rsid w:val="00947F1A"/>
    <w:rsid w:val="00BB5525"/>
    <w:rsid w:val="00C82C2C"/>
    <w:rsid w:val="00CA1965"/>
    <w:rsid w:val="00E7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38F22"/>
  <w15:docId w15:val="{44F03E44-363F-4206-BC6C-B8961367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A3"/>
    <w:pPr>
      <w:spacing w:after="160" w:line="259"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8E37A3"/>
    <w:pPr>
      <w:jc w:val="left"/>
      <w:outlineLvl w:val="0"/>
    </w:pPr>
    <w:rPr>
      <w:b/>
      <w:bCs/>
      <w:sz w:val="32"/>
      <w:szCs w:val="32"/>
    </w:rPr>
  </w:style>
  <w:style w:type="paragraph" w:styleId="Heading2">
    <w:name w:val="heading 2"/>
    <w:basedOn w:val="Normal"/>
    <w:next w:val="Normal"/>
    <w:link w:val="Heading2Char"/>
    <w:uiPriority w:val="9"/>
    <w:unhideWhenUsed/>
    <w:qFormat/>
    <w:rsid w:val="008E37A3"/>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7A3"/>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8E37A3"/>
    <w:rPr>
      <w:rFonts w:ascii="Times New Roman" w:hAnsi="Times New Roman" w:cs="Times New Roman"/>
      <w:b/>
      <w:bCs/>
      <w:sz w:val="28"/>
      <w:szCs w:val="28"/>
    </w:rPr>
  </w:style>
  <w:style w:type="paragraph" w:styleId="ListParagraph">
    <w:name w:val="List Paragraph"/>
    <w:basedOn w:val="Normal"/>
    <w:uiPriority w:val="34"/>
    <w:qFormat/>
    <w:rsid w:val="008E37A3"/>
    <w:pPr>
      <w:ind w:left="720"/>
      <w:contextualSpacing/>
    </w:pPr>
  </w:style>
  <w:style w:type="table" w:customStyle="1" w:styleId="GridTable1Light1">
    <w:name w:val="Grid Table 1 Light1"/>
    <w:basedOn w:val="TableNormal"/>
    <w:uiPriority w:val="46"/>
    <w:rsid w:val="008E37A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8E37A3"/>
    <w:pPr>
      <w:spacing w:after="0" w:line="480" w:lineRule="auto"/>
      <w:ind w:left="720" w:hanging="720"/>
    </w:pPr>
  </w:style>
  <w:style w:type="paragraph" w:styleId="BalloonText">
    <w:name w:val="Balloon Text"/>
    <w:basedOn w:val="Normal"/>
    <w:link w:val="BalloonTextChar"/>
    <w:uiPriority w:val="99"/>
    <w:semiHidden/>
    <w:unhideWhenUsed/>
    <w:rsid w:val="008E3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7A3"/>
    <w:rPr>
      <w:rFonts w:ascii="Tahoma" w:hAnsi="Tahoma" w:cs="Tahoma"/>
      <w:sz w:val="16"/>
      <w:szCs w:val="16"/>
    </w:rPr>
  </w:style>
  <w:style w:type="character" w:styleId="Hyperlink">
    <w:name w:val="Hyperlink"/>
    <w:uiPriority w:val="99"/>
    <w:unhideWhenUsed/>
    <w:rsid w:val="008E37A3"/>
    <w:rPr>
      <w:color w:val="0563C1"/>
      <w:u w:val="single"/>
    </w:rPr>
  </w:style>
  <w:style w:type="paragraph" w:styleId="BodyText">
    <w:name w:val="Body Text"/>
    <w:basedOn w:val="Normal"/>
    <w:link w:val="BodyTextChar"/>
    <w:uiPriority w:val="1"/>
    <w:qFormat/>
    <w:rsid w:val="008E37A3"/>
    <w:pPr>
      <w:widowControl w:val="0"/>
      <w:autoSpaceDE w:val="0"/>
      <w:autoSpaceDN w:val="0"/>
      <w:spacing w:after="0" w:line="240" w:lineRule="auto"/>
      <w:jc w:val="left"/>
    </w:pPr>
    <w:rPr>
      <w:rFonts w:eastAsia="Times New Roman"/>
      <w:sz w:val="22"/>
      <w:szCs w:val="22"/>
    </w:rPr>
  </w:style>
  <w:style w:type="character" w:customStyle="1" w:styleId="BodyTextChar">
    <w:name w:val="Body Text Char"/>
    <w:basedOn w:val="DefaultParagraphFont"/>
    <w:link w:val="BodyText"/>
    <w:uiPriority w:val="1"/>
    <w:rsid w:val="008E37A3"/>
    <w:rPr>
      <w:rFonts w:ascii="Times New Roman" w:eastAsia="Times New Roman" w:hAnsi="Times New Roman" w:cs="Times New Roman"/>
    </w:rPr>
  </w:style>
  <w:style w:type="paragraph" w:styleId="Header">
    <w:name w:val="header"/>
    <w:basedOn w:val="Normal"/>
    <w:link w:val="HeaderChar"/>
    <w:uiPriority w:val="99"/>
    <w:unhideWhenUsed/>
    <w:rsid w:val="00857E90"/>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57E90"/>
    <w:rPr>
      <w:rFonts w:ascii="Times New Roman" w:hAnsi="Times New Roman" w:cs="Times New Roman"/>
      <w:sz w:val="24"/>
      <w:szCs w:val="24"/>
    </w:rPr>
  </w:style>
  <w:style w:type="paragraph" w:styleId="Footer">
    <w:name w:val="footer"/>
    <w:basedOn w:val="Normal"/>
    <w:link w:val="FooterChar"/>
    <w:uiPriority w:val="99"/>
    <w:unhideWhenUsed/>
    <w:rsid w:val="00857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E90"/>
    <w:rPr>
      <w:rFonts w:ascii="Times New Roman" w:hAnsi="Times New Roman" w:cs="Times New Roman"/>
      <w:sz w:val="24"/>
      <w:szCs w:val="24"/>
    </w:rPr>
  </w:style>
  <w:style w:type="character" w:customStyle="1" w:styleId="fontstyle21">
    <w:name w:val="fontstyle21"/>
    <w:rsid w:val="00E707F0"/>
    <w:rPr>
      <w:rFonts w:ascii="TimesNewRomanPSMT" w:hAnsi="TimesNewRomanPSMT" w:hint="default"/>
      <w:b w:val="0"/>
      <w:bCs w:val="0"/>
      <w:i w:val="0"/>
      <w:iCs w:val="0"/>
      <w:color w:val="000000"/>
      <w:sz w:val="26"/>
      <w:szCs w:val="26"/>
    </w:rPr>
  </w:style>
  <w:style w:type="character" w:customStyle="1" w:styleId="fontstyle01">
    <w:name w:val="fontstyle01"/>
    <w:rsid w:val="00E707F0"/>
    <w:rPr>
      <w:rFonts w:ascii="TimesNewRomanPS-BoldMT" w:hAnsi="TimesNewRomanPS-BoldMT" w:hint="default"/>
      <w:b/>
      <w:bCs/>
      <w:i w:val="0"/>
      <w:iCs w:val="0"/>
      <w:color w:val="000000"/>
      <w:sz w:val="26"/>
      <w:szCs w:val="26"/>
    </w:rPr>
  </w:style>
  <w:style w:type="character" w:customStyle="1" w:styleId="fontstyle31">
    <w:name w:val="fontstyle31"/>
    <w:rsid w:val="00E707F0"/>
    <w:rPr>
      <w:rFonts w:ascii="Georgia-Italic" w:hAnsi="Georgia-Italic" w:hint="default"/>
      <w:b w:val="0"/>
      <w:bCs w:val="0"/>
      <w:i/>
      <w:iCs/>
      <w:color w:val="21252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ey.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wathig65@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17388</Words>
  <Characters>99116</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IJRDO Quality</cp:lastModifiedBy>
  <cp:revision>8</cp:revision>
  <dcterms:created xsi:type="dcterms:W3CDTF">2024-05-11T02:50:00Z</dcterms:created>
  <dcterms:modified xsi:type="dcterms:W3CDTF">2024-05-12T13:55:00Z</dcterms:modified>
</cp:coreProperties>
</file>